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A4" w:rsidRDefault="00D71AA4" w:rsidP="00D71AA4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Надвірнянське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управління ГУ ДФС в Івано-Франківській області інформує:</w:t>
      </w:r>
    </w:p>
    <w:p w:rsidR="00D71AA4" w:rsidRDefault="00D71AA4" w:rsidP="00D71AA4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71AA4" w:rsidRPr="00445BA9" w:rsidRDefault="00D71AA4" w:rsidP="00D71AA4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45BA9">
        <w:rPr>
          <w:rFonts w:ascii="Times New Roman" w:hAnsi="Times New Roman"/>
          <w:b/>
          <w:sz w:val="28"/>
          <w:szCs w:val="28"/>
          <w:lang w:val="uk-UA" w:eastAsia="ru-RU"/>
        </w:rPr>
        <w:t>Про зміну прізвища та реєстрації місця проживання необхідно повідомити органи ДФС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Фахівці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Центрів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обслуговування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платників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Надв</w:t>
      </w:r>
      <w:r w:rsidRPr="00DC2940">
        <w:rPr>
          <w:rFonts w:ascii="Times New Roman" w:hAnsi="Times New Roman"/>
          <w:sz w:val="28"/>
          <w:szCs w:val="28"/>
          <w:lang w:val="uk-UA" w:eastAsia="ru-RU"/>
        </w:rPr>
        <w:t>ірнянського</w:t>
      </w:r>
      <w:proofErr w:type="spellEnd"/>
      <w:r w:rsidRPr="00DC29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ГУ ДФС </w:t>
      </w:r>
      <w:r w:rsidRPr="00DC2940">
        <w:rPr>
          <w:rFonts w:ascii="Times New Roman" w:hAnsi="Times New Roman"/>
          <w:sz w:val="28"/>
          <w:szCs w:val="28"/>
          <w:lang w:val="uk-UA" w:eastAsia="ru-RU"/>
        </w:rPr>
        <w:t xml:space="preserve">в Івано-Франківській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області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звертають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увагу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особи -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платники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зобов’язані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подавати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контролюючих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органів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ідомості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даних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вносяться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облікової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картки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особи –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платника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протягом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місяця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дня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виникнення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таких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. До таких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даних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зокрема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відноситься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ізвище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особи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зареєстроване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місце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проживання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розділу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IX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Положення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реєстрацію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у ДРФО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29.09.2017 № 822,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внесення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Державного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реєстру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платників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здійснюється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протягом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трьох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робочих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днів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дня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фізичною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особою заяви за формою № 5ДР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контролюючого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органу за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своєю</w:t>
      </w:r>
      <w:proofErr w:type="spellEnd"/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податковою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місцем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проживання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).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разі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звернення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будь-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контролюючого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органу строк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внесення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Державного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реєстру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продовжено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п’яти</w:t>
      </w:r>
      <w:proofErr w:type="spellEnd"/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робочих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днів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Заява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 формою № 5ДР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бути подана через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представника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наявності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документа,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посвідчує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особу такого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представника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та документа,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посвідчує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довірителя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ксерокопії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(з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чітким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зображенням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), 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також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довіреності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засвідченої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нотаріальному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порядку, 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процедури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даних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особи у Державному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реє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стр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після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пред’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явлення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повертається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копії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Завдяки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своєчасно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внесен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ій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достовірній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фактичні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реєстраційні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дані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контролюючі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органи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мають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можливість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своєчасно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інформувати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громадян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нараховані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суми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земельного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нерухомість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транспортного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Будь-яку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консультацію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порядку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заповнення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заяв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іншу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довідкову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інформацію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оподаткування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отримати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в Центрах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обслуговування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Надв</w:t>
      </w:r>
      <w:r w:rsidRPr="00DC2940">
        <w:rPr>
          <w:rFonts w:ascii="Times New Roman" w:hAnsi="Times New Roman"/>
          <w:sz w:val="28"/>
          <w:szCs w:val="28"/>
          <w:lang w:val="uk-UA" w:eastAsia="ru-RU"/>
        </w:rPr>
        <w:t>ірнянського</w:t>
      </w:r>
      <w:proofErr w:type="spellEnd"/>
      <w:r w:rsidRPr="00DC29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ГУ ДФС </w:t>
      </w:r>
      <w:r w:rsidRPr="00DC2940">
        <w:rPr>
          <w:rFonts w:ascii="Times New Roman" w:hAnsi="Times New Roman"/>
          <w:sz w:val="28"/>
          <w:szCs w:val="28"/>
          <w:lang w:val="uk-UA" w:eastAsia="ru-RU"/>
        </w:rPr>
        <w:t xml:space="preserve">в Івано-Франківській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області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940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DC2940">
        <w:rPr>
          <w:rFonts w:ascii="Times New Roman" w:hAnsi="Times New Roman"/>
          <w:sz w:val="28"/>
          <w:szCs w:val="28"/>
          <w:lang w:val="uk-UA" w:eastAsia="ru-RU"/>
        </w:rPr>
        <w:t>м</w:t>
      </w:r>
      <w:proofErr w:type="gramStart"/>
      <w:r w:rsidRPr="00DC2940"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 w:rsidRPr="00DC2940">
        <w:rPr>
          <w:rFonts w:ascii="Times New Roman" w:hAnsi="Times New Roman"/>
          <w:sz w:val="28"/>
          <w:szCs w:val="28"/>
          <w:lang w:val="uk-UA" w:eastAsia="ru-RU"/>
        </w:rPr>
        <w:t>адвірна</w:t>
      </w:r>
      <w:proofErr w:type="spellEnd"/>
      <w:r w:rsidRPr="00DC2940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val="uk-UA" w:eastAsia="ru-RU"/>
        </w:rPr>
        <w:t>м.Яремча</w:t>
      </w:r>
      <w:proofErr w:type="spellEnd"/>
      <w:r w:rsidRPr="00DC294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71AA4" w:rsidRDefault="00D71AA4" w:rsidP="00D71AA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1AA4" w:rsidRPr="00634F07" w:rsidRDefault="00D71AA4" w:rsidP="00D71AA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4F07">
        <w:rPr>
          <w:rFonts w:ascii="Times New Roman" w:hAnsi="Times New Roman"/>
          <w:b/>
          <w:sz w:val="28"/>
          <w:szCs w:val="28"/>
          <w:lang w:eastAsia="ru-RU"/>
        </w:rPr>
        <w:t xml:space="preserve">ДФС введено у </w:t>
      </w:r>
      <w:proofErr w:type="spellStart"/>
      <w:r w:rsidRPr="00634F07">
        <w:rPr>
          <w:rFonts w:ascii="Times New Roman" w:hAnsi="Times New Roman"/>
          <w:b/>
          <w:sz w:val="28"/>
          <w:szCs w:val="28"/>
          <w:lang w:eastAsia="ru-RU"/>
        </w:rPr>
        <w:t>дію</w:t>
      </w:r>
      <w:proofErr w:type="spellEnd"/>
      <w:r w:rsidRPr="00634F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F07">
        <w:rPr>
          <w:rFonts w:ascii="Times New Roman" w:hAnsi="Times New Roman"/>
          <w:b/>
          <w:sz w:val="28"/>
          <w:szCs w:val="28"/>
          <w:lang w:eastAsia="ru-RU"/>
        </w:rPr>
        <w:t>нов</w:t>
      </w:r>
      <w:proofErr w:type="gramEnd"/>
      <w:r w:rsidRPr="00634F07">
        <w:rPr>
          <w:rFonts w:ascii="Times New Roman" w:hAnsi="Times New Roman"/>
          <w:b/>
          <w:sz w:val="28"/>
          <w:szCs w:val="28"/>
          <w:lang w:eastAsia="ru-RU"/>
        </w:rPr>
        <w:t>і</w:t>
      </w:r>
      <w:proofErr w:type="spellEnd"/>
      <w:r w:rsidRPr="00634F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sz w:val="28"/>
          <w:szCs w:val="28"/>
          <w:lang w:eastAsia="ru-RU"/>
        </w:rPr>
        <w:t>коди</w:t>
      </w:r>
      <w:proofErr w:type="spellEnd"/>
      <w:r w:rsidRPr="00634F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sz w:val="28"/>
          <w:szCs w:val="28"/>
          <w:lang w:eastAsia="ru-RU"/>
        </w:rPr>
        <w:t>бюджетної</w:t>
      </w:r>
      <w:proofErr w:type="spellEnd"/>
      <w:r w:rsidRPr="00634F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sz w:val="28"/>
          <w:szCs w:val="28"/>
          <w:lang w:eastAsia="ru-RU"/>
        </w:rPr>
        <w:t>класифікації</w:t>
      </w:r>
      <w:proofErr w:type="spellEnd"/>
      <w:r w:rsidRPr="00634F07">
        <w:rPr>
          <w:rFonts w:ascii="Times New Roman" w:hAnsi="Times New Roman"/>
          <w:b/>
          <w:sz w:val="28"/>
          <w:szCs w:val="28"/>
          <w:lang w:eastAsia="ru-RU"/>
        </w:rPr>
        <w:t xml:space="preserve"> ПДФО та </w:t>
      </w:r>
      <w:proofErr w:type="spellStart"/>
      <w:r w:rsidRPr="00634F07">
        <w:rPr>
          <w:rFonts w:ascii="Times New Roman" w:hAnsi="Times New Roman"/>
          <w:b/>
          <w:sz w:val="28"/>
          <w:szCs w:val="28"/>
          <w:lang w:eastAsia="ru-RU"/>
        </w:rPr>
        <w:t>військового</w:t>
      </w:r>
      <w:proofErr w:type="spellEnd"/>
      <w:r w:rsidRPr="00634F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sz w:val="28"/>
          <w:szCs w:val="28"/>
          <w:lang w:eastAsia="ru-RU"/>
        </w:rPr>
        <w:t>збору</w:t>
      </w:r>
      <w:proofErr w:type="spellEnd"/>
    </w:p>
    <w:p w:rsidR="00D71AA4" w:rsidRPr="00634F07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F07"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належного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ведення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оперативного </w:t>
      </w:r>
      <w:proofErr w:type="spellStart"/>
      <w:proofErr w:type="gramStart"/>
      <w:r w:rsidRPr="00634F07">
        <w:rPr>
          <w:rFonts w:ascii="Times New Roman" w:hAnsi="Times New Roman"/>
          <w:sz w:val="28"/>
          <w:szCs w:val="28"/>
          <w:lang w:eastAsia="ru-RU"/>
        </w:rPr>
        <w:t>обл</w:t>
      </w:r>
      <w:proofErr w:type="gramEnd"/>
      <w:r w:rsidRPr="00634F07">
        <w:rPr>
          <w:rFonts w:ascii="Times New Roman" w:hAnsi="Times New Roman"/>
          <w:sz w:val="28"/>
          <w:szCs w:val="28"/>
          <w:lang w:eastAsia="ru-RU"/>
        </w:rPr>
        <w:t>іку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збору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) ДФС введено у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дію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нові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коди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бюджетної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класифікації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:</w:t>
      </w:r>
    </w:p>
    <w:p w:rsidR="00D71AA4" w:rsidRPr="00634F07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F07">
        <w:rPr>
          <w:rFonts w:ascii="Times New Roman" w:hAnsi="Times New Roman"/>
          <w:sz w:val="28"/>
          <w:szCs w:val="28"/>
          <w:lang w:eastAsia="ru-RU"/>
        </w:rPr>
        <w:t>11010501 – «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податок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на доходи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фізичних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сплачується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фізичними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особами,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634F0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34F07">
        <w:rPr>
          <w:rFonts w:ascii="Times New Roman" w:hAnsi="Times New Roman"/>
          <w:sz w:val="28"/>
          <w:szCs w:val="28"/>
          <w:lang w:eastAsia="ru-RU"/>
        </w:rPr>
        <w:t>ідлягають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обов’язковому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декларуванню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»;</w:t>
      </w:r>
    </w:p>
    <w:p w:rsidR="00D71AA4" w:rsidRPr="00634F07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F07">
        <w:rPr>
          <w:rFonts w:ascii="Times New Roman" w:hAnsi="Times New Roman"/>
          <w:sz w:val="28"/>
          <w:szCs w:val="28"/>
          <w:lang w:eastAsia="ru-RU"/>
        </w:rPr>
        <w:t>11011001 – «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військовий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збі</w:t>
      </w:r>
      <w:proofErr w:type="gramStart"/>
      <w:r w:rsidRPr="00634F07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сплачується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декларування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».</w:t>
      </w:r>
    </w:p>
    <w:p w:rsidR="00D71AA4" w:rsidRPr="00634F07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Отже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відтепер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:</w:t>
      </w:r>
    </w:p>
    <w:p w:rsidR="00D71AA4" w:rsidRPr="00634F07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І.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Платник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податку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фізична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особа, яка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відповідно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розділу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IV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Податкового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кодексу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зобов’язана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сплатити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податок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але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звільнена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від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подання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декларації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(при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нотаріальному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посвідченні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договорів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та/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або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видачі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св</w:t>
      </w:r>
      <w:proofErr w:type="gram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ідоцтв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 право на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спадщину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тощо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),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сплачує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71AA4" w:rsidRPr="00634F07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-</w:t>
      </w:r>
      <w:r w:rsidRPr="00634F07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податок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за кодом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бюджетної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класифікації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 </w:t>
      </w:r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«11010501»</w:t>
      </w:r>
      <w:r w:rsidRPr="00634F07">
        <w:rPr>
          <w:rFonts w:ascii="Times New Roman" w:hAnsi="Times New Roman"/>
          <w:sz w:val="28"/>
          <w:szCs w:val="28"/>
          <w:lang w:eastAsia="ru-RU"/>
        </w:rPr>
        <w:t> – «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податок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на доходи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фізичних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сплачується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фізичними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особами,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634F0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34F07">
        <w:rPr>
          <w:rFonts w:ascii="Times New Roman" w:hAnsi="Times New Roman"/>
          <w:sz w:val="28"/>
          <w:szCs w:val="28"/>
          <w:lang w:eastAsia="ru-RU"/>
        </w:rPr>
        <w:t>ідлягають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обов’язковому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декларуванню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»;</w:t>
      </w:r>
    </w:p>
    <w:p w:rsidR="00D71AA4" w:rsidRPr="00634F07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F07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військовий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збі</w:t>
      </w:r>
      <w:proofErr w:type="gramStart"/>
      <w:r w:rsidRPr="00634F07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за кодом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бюджетної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класифікації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 </w:t>
      </w:r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«11011000»</w:t>
      </w:r>
      <w:r w:rsidRPr="00634F07">
        <w:rPr>
          <w:rFonts w:ascii="Times New Roman" w:hAnsi="Times New Roman"/>
          <w:sz w:val="28"/>
          <w:szCs w:val="28"/>
          <w:lang w:eastAsia="ru-RU"/>
        </w:rPr>
        <w:t> – «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військовий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збір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».</w:t>
      </w:r>
    </w:p>
    <w:p w:rsidR="00D71AA4" w:rsidRPr="00634F07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ІІ.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Платник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податку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фізична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особа, яка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зобов’язана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подати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декларацію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визначити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сплатити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свої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податкові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зобов’язання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сплачу</w:t>
      </w:r>
      <w:proofErr w:type="gramStart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є</w:t>
      </w:r>
      <w:proofErr w:type="spellEnd"/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proofErr w:type="gramEnd"/>
    </w:p>
    <w:p w:rsidR="00D71AA4" w:rsidRPr="00634F07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634F07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податок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за кодом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бюджетної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класифікації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 </w:t>
      </w:r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«11010500»</w:t>
      </w:r>
      <w:r w:rsidRPr="00634F07">
        <w:rPr>
          <w:rFonts w:ascii="Times New Roman" w:hAnsi="Times New Roman"/>
          <w:sz w:val="28"/>
          <w:szCs w:val="28"/>
          <w:lang w:eastAsia="ru-RU"/>
        </w:rPr>
        <w:t> – «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податок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на доходи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фізичних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сплачується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фізичними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особами за результатами </w:t>
      </w:r>
      <w:proofErr w:type="spellStart"/>
      <w:proofErr w:type="gramStart"/>
      <w:r w:rsidRPr="00634F0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34F07">
        <w:rPr>
          <w:rFonts w:ascii="Times New Roman" w:hAnsi="Times New Roman"/>
          <w:sz w:val="28"/>
          <w:szCs w:val="28"/>
          <w:lang w:eastAsia="ru-RU"/>
        </w:rPr>
        <w:t>ічного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декларування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»;</w:t>
      </w:r>
    </w:p>
    <w:p w:rsidR="00D71AA4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634F07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військовий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збі</w:t>
      </w:r>
      <w:proofErr w:type="gramStart"/>
      <w:r w:rsidRPr="00634F07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за кодом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бюджетної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класифікації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 </w:t>
      </w:r>
      <w:r w:rsidRPr="00634F07">
        <w:rPr>
          <w:rFonts w:ascii="Times New Roman" w:hAnsi="Times New Roman"/>
          <w:b/>
          <w:bCs/>
          <w:sz w:val="28"/>
          <w:szCs w:val="28"/>
          <w:lang w:eastAsia="ru-RU"/>
        </w:rPr>
        <w:t>«11011001»</w:t>
      </w:r>
      <w:r w:rsidRPr="00634F07">
        <w:rPr>
          <w:rFonts w:ascii="Times New Roman" w:hAnsi="Times New Roman"/>
          <w:sz w:val="28"/>
          <w:szCs w:val="28"/>
          <w:lang w:eastAsia="ru-RU"/>
        </w:rPr>
        <w:t> – «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військовий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збір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сплачується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634F07">
        <w:rPr>
          <w:rFonts w:ascii="Times New Roman" w:hAnsi="Times New Roman"/>
          <w:sz w:val="28"/>
          <w:szCs w:val="28"/>
          <w:lang w:eastAsia="ru-RU"/>
        </w:rPr>
        <w:t>декларування</w:t>
      </w:r>
      <w:proofErr w:type="spellEnd"/>
      <w:r w:rsidRPr="00634F07">
        <w:rPr>
          <w:rFonts w:ascii="Times New Roman" w:hAnsi="Times New Roman"/>
          <w:sz w:val="28"/>
          <w:szCs w:val="28"/>
          <w:lang w:eastAsia="ru-RU"/>
        </w:rPr>
        <w:t>».</w:t>
      </w:r>
    </w:p>
    <w:p w:rsidR="00D71AA4" w:rsidRPr="00634F07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1AA4" w:rsidRPr="00DC2940" w:rsidRDefault="00D71AA4" w:rsidP="00D71AA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разі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прийняття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940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b/>
          <w:sz w:val="28"/>
          <w:szCs w:val="28"/>
          <w:lang w:eastAsia="ru-RU"/>
        </w:rPr>
        <w:t>ішень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органами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місцевого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самоврядування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туристичний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збір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буде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сплачуватися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у 2019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році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по - новому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нової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норми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кодексу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справляння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збору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здійснюватися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такими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агентами: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)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ридичними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особами,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філіями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відділеннями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іншими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відокремленими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підрозділами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юридичних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підпунктом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268.7.2 пункту 268.7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цієї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статті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особами -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підприємцями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надають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послуги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тимчасового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розміщення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місцях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проживання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ночівлі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визначених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підпунктом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268.5.1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цієї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статті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;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>б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)к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вартирно-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посередницькими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організаціями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направляють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неорганізованих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метою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тимчасового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розміщення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місцях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проживання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ночівлі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визначених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підпунктом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"б"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підпункту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268.5.1 пункту 268.5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цієї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статті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належать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фізичним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особам 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праві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власності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праві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користування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 договором найму;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юридичними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особами,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уповноважуються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сільською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селищною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міською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радою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радою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об'єднаної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територіальної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створена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законом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перспективним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планом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територій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громад,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справляти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збі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умовах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договору,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укладеного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радою.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Перелік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агенті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інформація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про них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розміщуються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оприлюднюються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офіційному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веб-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сайті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об’єднаної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територіальної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Ставка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збору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встановлюється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ішенням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об'єднаної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територіальної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створена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законом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перспективним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планом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територій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громад, за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кожну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добу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тимчасового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розміщення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особи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місцях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проживання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ночівлі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визначених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підпунктом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268.5.1 пункту 268.5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цієї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статті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ПКУ,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розмі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0,5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відсотка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- для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внутрішнього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туризму та до 5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відсотків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- для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в'їзного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туризму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розміру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мінімальної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заробітної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плати,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встановленої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законом на 1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січня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звітного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року, для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однієї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особи за одну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добу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тимчасового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розміщення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У 2019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році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базою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справляння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збору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загальна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кількість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діб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тимчасового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розміщення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місцях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проживання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ночі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визначених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підпунктом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268.5.1 пункту 268.5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цієї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статті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ПКУ.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Платники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туристичного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збору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сплачують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суму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збору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авансовим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внеском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перед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тимчасовим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розміщенням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місцях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проживання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ночі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податковим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агентам,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lastRenderedPageBreak/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справляють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збір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 ставками,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місцях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справляння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збору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з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дотриманням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вимог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визначених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рішенням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сільської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об'єднаної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територіальної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громади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створена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законом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перспективним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планом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територій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громад,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також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передбачено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01.01.2019 року.</w:t>
      </w:r>
    </w:p>
    <w:p w:rsidR="00D71AA4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Довідково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: Закон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23.11.2018 №2628-VIII «Про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внесення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кодексу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деяких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законодавчих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актів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покращення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адм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іністрування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перегляду ставок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окремих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зборів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».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1AA4" w:rsidRPr="00DC2940" w:rsidRDefault="00D71AA4" w:rsidP="00D71AA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Оновлено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ознаки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доході</w:t>
      </w:r>
      <w:proofErr w:type="gramStart"/>
      <w:r w:rsidRPr="00DC2940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у ф. № 1ДФ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Надв</w:t>
      </w:r>
      <w:r w:rsidRPr="00DC2940">
        <w:rPr>
          <w:rFonts w:ascii="Times New Roman" w:hAnsi="Times New Roman"/>
          <w:sz w:val="28"/>
          <w:szCs w:val="28"/>
          <w:lang w:val="uk-UA" w:eastAsia="ru-RU"/>
        </w:rPr>
        <w:t>ірнянського</w:t>
      </w:r>
      <w:proofErr w:type="spellEnd"/>
      <w:r w:rsidRPr="00DC29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управління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ГУ ДФС </w:t>
      </w:r>
      <w:r w:rsidRPr="00DC2940">
        <w:rPr>
          <w:rFonts w:ascii="Times New Roman" w:hAnsi="Times New Roman"/>
          <w:sz w:val="28"/>
          <w:szCs w:val="28"/>
          <w:lang w:val="uk-UA" w:eastAsia="ru-RU"/>
        </w:rPr>
        <w:t xml:space="preserve">в Івано-Франківській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області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повідомля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є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Міністерства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фінансів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31.10.2018 № 863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далі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Наказ № 863)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затверджено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додаток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«Порядку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заповнення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агентами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розрахунку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сум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доходу,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нарахованого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сплаченого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користь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і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сум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утриманого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них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затвердженого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Міністерства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фінансів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13.01.2015 № 4.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Наказ № 863 набрав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чинності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01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січня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2019 року.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Оновлення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Довідника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ознак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доходів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обумовлено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змінами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протягом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2017-2018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ст. 165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кодексу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доходи,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включаються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розрахунку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загального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місячного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ічного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оподатковуваного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доходу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платника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Так,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змінено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текст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ознаки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доходу: 127, 113, 114, 143, 145, 149, 156, 160, 183.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Передбачено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нові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ознаки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доходів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186 – 194: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186 -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дохід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нараховується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як сума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ненарахованих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проценті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користування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кредитом,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187 - сума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благодійної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допомоги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виплаченої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наданої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благодійниками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внесені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Реєстру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волонтерів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антитерористичної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операції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;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188 -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дохід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отриманий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благодійниками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особами,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внесені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Реєстру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волонтерів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антитерористичної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операції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благодійної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допомоги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,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189 -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дохід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вигляді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основної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суми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боргу (кредиту)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платника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прощеного кредитором за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самостійним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ішенням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,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190 - сума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благодійної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допомоги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виплачена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міжнародними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благодійними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організаці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ями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користь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мешкають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(мешкали) 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території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населених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пунктів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, де проводиться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проводилася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антитерористична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операція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,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191 - сума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коштів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надається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платнику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міжнародною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фінансовою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організацією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зв'язку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здійсненням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заходів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енергоефективності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енергозбереження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,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193 -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дохід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вигляді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суми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прощеної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кредитором у порядку,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передбаченому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законом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реструктуризації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зобов'язань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 кредитами в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іноземній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валюті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отримані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єдиного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житла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іпотечні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кредити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),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194-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інші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доходи,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Кодексом не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включаються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складу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загального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місячного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ічного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оподатковуваного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доходу.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Кр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того внесено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таблицю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ознаками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соціальної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пільги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цьому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форма № 1ДФ та Порядок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заповнення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змінилися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1AA4" w:rsidRPr="00DC2940" w:rsidRDefault="00D71AA4" w:rsidP="00D71AA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294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Коли не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подається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940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b/>
          <w:sz w:val="28"/>
          <w:szCs w:val="28"/>
          <w:lang w:eastAsia="ru-RU"/>
        </w:rPr>
        <w:t>ічна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декларація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про </w:t>
      </w:r>
      <w:proofErr w:type="spellStart"/>
      <w:r w:rsidRPr="00DC2940">
        <w:rPr>
          <w:rFonts w:ascii="Times New Roman" w:hAnsi="Times New Roman"/>
          <w:b/>
          <w:sz w:val="28"/>
          <w:szCs w:val="28"/>
          <w:lang w:eastAsia="ru-RU"/>
        </w:rPr>
        <w:t>майновий</w:t>
      </w:r>
      <w:proofErr w:type="spellEnd"/>
      <w:r w:rsidRPr="00DC2940">
        <w:rPr>
          <w:rFonts w:ascii="Times New Roman" w:hAnsi="Times New Roman"/>
          <w:b/>
          <w:sz w:val="28"/>
          <w:szCs w:val="28"/>
          <w:lang w:eastAsia="ru-RU"/>
        </w:rPr>
        <w:t xml:space="preserve"> стан і доходи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п. 179.1 ст. 179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кодексу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платник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зобов'язаний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подавати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ічну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декларацію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майновий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стан і доходи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випадках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передбачених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розділом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IV Кодексу.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декларація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п.179.2 ст. 179 ПКУ) не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подається</w:t>
      </w:r>
      <w:proofErr w:type="spellEnd"/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платник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отримував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доходи: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агентів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IV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розділом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Кодексу не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включаються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загального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місячного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ічного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оподатковуваного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доходу;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виключно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агентів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незалежно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виду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розміру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нарахованого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виплаченого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наданого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доходу,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кр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випадків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прямо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передбачених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IV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розділом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Кодексу;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операцій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продажу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обміну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майна,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дарування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при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нотаріальному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посвідченні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договорі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за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якими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був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сплачений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податок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доходи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фізичних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далі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податок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IV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розділу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Кодексу;</w:t>
      </w:r>
    </w:p>
    <w:p w:rsidR="00D71AA4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-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вигляді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об'єктів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спадщини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цього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розділу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оподатковуються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нульовою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ставкою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та/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яких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сплачено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податок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п. 174.3 ст. 174 Кодексу.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1AA4" w:rsidRPr="00445BA9" w:rsidRDefault="00D71AA4" w:rsidP="00D71AA4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45BA9">
        <w:rPr>
          <w:rFonts w:ascii="Times New Roman" w:hAnsi="Times New Roman"/>
          <w:b/>
          <w:sz w:val="28"/>
          <w:szCs w:val="28"/>
          <w:lang w:val="uk-UA" w:eastAsia="ru-RU"/>
        </w:rPr>
        <w:t>Коефіцієнт індексації нормативної грошової оцінки земель за 2018 рік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статті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289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кодексу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визначення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суми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зобов'язань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земельного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орендної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плати за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земельні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ділянки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нормативна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грошова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оцінка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земельних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ділянок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вимог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чинного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законодавства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Державна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служба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геодезії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картографії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кадастру 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листі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04.01.2019 № 22-28-022-125/2-19 «Про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індексацію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нормативної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грошової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оцінки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земель»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повідомила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наступне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пункту 9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ідрозділу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6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розділу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ХХ «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Перехідні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положення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кодексу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(в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редакції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23.11.2018 № 2628–VIII «Про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внесення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змін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Податкового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кодексу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деяких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законодавчих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актів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покращення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перегляду ставок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окремих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податків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зборів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»)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індекс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споживчих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цін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  2017–2023 роки,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визначення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коефіцієнта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індексації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нормативної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грошової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оцінки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сільськогосподарських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угідь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земель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населених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пункті</w:t>
      </w:r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земель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несільськогосподарського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застосовується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значенням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100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відсотків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Значення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коефіцієнта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індексації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нормативної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грошової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оцінки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сільськогосподарських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угідь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земель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населених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пунктів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земель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несільськогосподарського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за 2018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становить 1,0.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Коефіцієнт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індексації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нормативної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грошової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оцінки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земель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застосовується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кумулятивно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залежно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дати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нормативної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грошової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оцінки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земель.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Коефіцієнти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індексації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нормативної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грошової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оцінки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земель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становлять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: 1996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1,703, 1997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1,059, 1998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1,006, 1999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1,127, 2000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1,182, 2001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1,02, 2005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1,035, 2007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1,028, 2008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1,152, 2009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1,059, 2010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1,0, 2011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1,0, 2012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1,0, 2013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1,0,   2014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1,249, 2015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1,433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крім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сільськогосподарських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угідь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 та 1,2 для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сільськогосподарських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угідь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рілля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перелоги,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сіножаті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пасовища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багаторічні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насадження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), 2016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для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сільськогосподарських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угідь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рілля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багаторічні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lastRenderedPageBreak/>
        <w:t>насадження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сіножаті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пасовища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та перелоги) – 1,0, для земель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несільськогосподарського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призначення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1,06, 2017 </w:t>
      </w:r>
      <w:proofErr w:type="spellStart"/>
      <w:proofErr w:type="gramStart"/>
      <w:r w:rsidRPr="00DC2940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C2940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– 1,0.</w:t>
      </w:r>
    </w:p>
    <w:p w:rsidR="00D71AA4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940">
        <w:rPr>
          <w:rFonts w:ascii="Times New Roman" w:hAnsi="Times New Roman"/>
          <w:sz w:val="28"/>
          <w:szCs w:val="28"/>
          <w:lang w:eastAsia="ru-RU"/>
        </w:rPr>
        <w:t xml:space="preserve">Нормативна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грошова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оцінка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 xml:space="preserve"> земель за 2002, 2003, 2004 та 2006 роки не </w:t>
      </w:r>
      <w:proofErr w:type="spellStart"/>
      <w:r w:rsidRPr="00DC2940">
        <w:rPr>
          <w:rFonts w:ascii="Times New Roman" w:hAnsi="Times New Roman"/>
          <w:sz w:val="28"/>
          <w:szCs w:val="28"/>
          <w:lang w:eastAsia="ru-RU"/>
        </w:rPr>
        <w:t>індексувалася</w:t>
      </w:r>
      <w:proofErr w:type="spellEnd"/>
      <w:r w:rsidRPr="00DC2940">
        <w:rPr>
          <w:rFonts w:ascii="Times New Roman" w:hAnsi="Times New Roman"/>
          <w:sz w:val="28"/>
          <w:szCs w:val="28"/>
          <w:lang w:eastAsia="ru-RU"/>
        </w:rPr>
        <w:t>.</w:t>
      </w:r>
    </w:p>
    <w:p w:rsidR="00D71AA4" w:rsidRPr="00DC2940" w:rsidRDefault="00D71AA4" w:rsidP="00D71AA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5D30" w:rsidRDefault="00085D30">
      <w:bookmarkStart w:id="0" w:name="_GoBack"/>
      <w:bookmarkEnd w:id="0"/>
    </w:p>
    <w:sectPr w:rsidR="00085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A4"/>
    <w:rsid w:val="00085D30"/>
    <w:rsid w:val="00D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A4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A4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7347</Words>
  <Characters>4189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Info-RDA</dc:creator>
  <cp:lastModifiedBy>Info-RDA</cp:lastModifiedBy>
  <cp:revision>1</cp:revision>
  <dcterms:created xsi:type="dcterms:W3CDTF">2019-01-22T12:55:00Z</dcterms:created>
  <dcterms:modified xsi:type="dcterms:W3CDTF">2019-01-22T12:59:00Z</dcterms:modified>
</cp:coreProperties>
</file>