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60" w:rsidRPr="008F5817" w:rsidRDefault="00E876BE" w:rsidP="00051E60">
      <w:pPr>
        <w:rPr>
          <w:rFonts w:ascii="Times New Roman" w:hAnsi="Times New Roman" w:cs="Times New Roman"/>
          <w:color w:val="22243A"/>
          <w:sz w:val="32"/>
          <w:szCs w:val="32"/>
        </w:rPr>
      </w:pPr>
      <w:bookmarkStart w:id="0" w:name="_GoBack"/>
      <w:bookmarkEnd w:id="0"/>
      <w:r w:rsidRPr="000A2450">
        <w:rPr>
          <w:rFonts w:ascii="Times New Roman" w:hAnsi="Times New Roman" w:cs="Times New Roman"/>
          <w:b/>
          <w:bCs/>
          <w:iCs/>
          <w:noProof/>
          <w:color w:val="333333"/>
          <w:sz w:val="32"/>
          <w:szCs w:val="32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307975</wp:posOffset>
            </wp:positionV>
            <wp:extent cx="2944495" cy="2030095"/>
            <wp:effectExtent l="1905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2450">
        <w:rPr>
          <w:rFonts w:ascii="Times New Roman" w:hAnsi="Times New Roman" w:cs="Times New Roman"/>
          <w:color w:val="22243A"/>
          <w:sz w:val="32"/>
          <w:szCs w:val="32"/>
        </w:rPr>
        <w:t xml:space="preserve"> </w:t>
      </w:r>
    </w:p>
    <w:p w:rsidR="007E35FF" w:rsidRPr="007E35FF" w:rsidRDefault="007E35FF" w:rsidP="007E35FF">
      <w:pPr>
        <w:pStyle w:val="1"/>
        <w:spacing w:before="150" w:after="150"/>
        <w:textAlignment w:val="baseline"/>
        <w:rPr>
          <w:rFonts w:ascii="Times New Roman" w:hAnsi="Times New Roman" w:cs="Times New Roman"/>
          <w:bCs w:val="0"/>
          <w:color w:val="000000"/>
          <w:sz w:val="32"/>
          <w:szCs w:val="32"/>
          <w:lang w:val="en-US"/>
        </w:rPr>
      </w:pPr>
      <w:r w:rsidRPr="007E35FF">
        <w:rPr>
          <w:rFonts w:ascii="Times New Roman" w:hAnsi="Times New Roman" w:cs="Times New Roman"/>
          <w:bCs w:val="0"/>
          <w:color w:val="000000"/>
          <w:sz w:val="32"/>
          <w:szCs w:val="32"/>
        </w:rPr>
        <w:t>Пільги зі сплати судового збору</w:t>
      </w:r>
    </w:p>
    <w:p w:rsidR="007E35FF" w:rsidRPr="007E35FF" w:rsidRDefault="007E35FF" w:rsidP="007E35F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За загальним правилом для звернення до суду та розгляду </w:t>
      </w:r>
      <w:hyperlink r:id="rId8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судом</w:t>
        </w:r>
      </w:hyperlink>
      <w:r w:rsidRPr="007E35FF">
        <w:rPr>
          <w:sz w:val="28"/>
          <w:szCs w:val="28"/>
        </w:rPr>
        <w:t> позовної заяви необхідно сплатити </w:t>
      </w:r>
      <w:hyperlink r:id="rId9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судовий збір</w:t>
        </w:r>
      </w:hyperlink>
      <w:r w:rsidRPr="007E35FF">
        <w:rPr>
          <w:sz w:val="28"/>
          <w:szCs w:val="28"/>
        </w:rPr>
        <w:t>. Особливо актуальною темою судовий збір став після того, як нещодавно законодавець суттєво підвищив його розмір, а також зменшив кількість пільговиків, тобто осіб, звільнених від сплати судового збору.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Закон визначає, що судовий збір – це один зі складових судових витрат, який справляється по всій території нашої держави за подання позовних та інших видів заяв, </w:t>
      </w:r>
      <w:hyperlink r:id="rId10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скарг</w:t>
        </w:r>
      </w:hyperlink>
      <w:r w:rsidRPr="007E35FF">
        <w:rPr>
          <w:sz w:val="28"/>
          <w:szCs w:val="28"/>
        </w:rPr>
        <w:t> до суду, а також за здійснення видачі судових документів.</w:t>
      </w:r>
    </w:p>
    <w:p w:rsidR="007E35FF" w:rsidRP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Судовий збір має бути сплачено до звернення до суду,  а копія квитанції про його сплату має бути додана до заяви чи скарги, з якою особа звернулася до суду.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Розмір судового збору залежить від низки чинників, зокрема виду судочинства, у порядку якого має бути розглянута справа, категорія справи, інстанція, до якої звертається особа тощо. У низці категорій справ для визначення розміру судового збору має значення, яка саме особа звертається до суду – </w:t>
      </w:r>
      <w:hyperlink r:id="rId11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юридична</w:t>
        </w:r>
      </w:hyperlink>
      <w:r w:rsidRPr="007E35FF">
        <w:rPr>
          <w:sz w:val="28"/>
          <w:szCs w:val="28"/>
        </w:rPr>
        <w:t> чи </w:t>
      </w:r>
      <w:hyperlink r:id="rId12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фізична</w:t>
        </w:r>
      </w:hyperlink>
      <w:r w:rsidRPr="007E35FF">
        <w:rPr>
          <w:sz w:val="28"/>
          <w:szCs w:val="28"/>
        </w:rPr>
        <w:t>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Зазвичай розмір судового збору встановлюється у відсотках до </w:t>
      </w:r>
      <w:hyperlink r:id="rId13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прожиткового мінімуму</w:t>
        </w:r>
      </w:hyperlink>
      <w:r w:rsidRPr="007E35FF">
        <w:rPr>
          <w:sz w:val="28"/>
          <w:szCs w:val="28"/>
        </w:rPr>
        <w:t>, встановленого в Україні на момент звернення до суду. У деяких випадках розмір судового збору залежить від ціни позову, однак у таких випадках передбачається максимальний розмір судового збору, який має бути сплачений </w:t>
      </w:r>
      <w:hyperlink r:id="rId14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позивачем</w:t>
        </w:r>
      </w:hyperlink>
      <w:r w:rsidRPr="007E35FF">
        <w:rPr>
          <w:sz w:val="28"/>
          <w:szCs w:val="28"/>
        </w:rPr>
        <w:t>.</w:t>
      </w:r>
    </w:p>
    <w:p w:rsidR="007E35FF" w:rsidRP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Як показує практика, необхідність у вирішенні справи судом може виникнути у абсолютно різних людей з різними доходами та матеріальним станом. Інколи особа просто не має можливості оплатити розмір судового збору для розгляду її справи.</w:t>
      </w:r>
      <w:r>
        <w:rPr>
          <w:sz w:val="28"/>
          <w:szCs w:val="28"/>
          <w:lang w:val="en-US"/>
        </w:rPr>
        <w:t xml:space="preserve"> </w:t>
      </w:r>
      <w:r w:rsidRPr="007E35FF">
        <w:rPr>
          <w:sz w:val="28"/>
          <w:szCs w:val="28"/>
        </w:rPr>
        <w:t>Враховуючи особливості певних категорій справ, статус певних осіб та деяких інших обставин, чинне законодавство України встановлює пільги щодо сплати судового збору.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rStyle w:val="a5"/>
          <w:sz w:val="28"/>
          <w:szCs w:val="28"/>
          <w:bdr w:val="none" w:sz="0" w:space="0" w:color="auto" w:frame="1"/>
        </w:rPr>
        <w:t>Особи, що звільнені від сплати судового збору у зв’язку з їхнім особливим статусом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1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По-перше, закон містить перелік осіб, які не сплачують судовий збір незалежно від категорії справи, інстанції суду, у якому відбувається розгляд справи, та судочинства, за правилами якого така справа буде розглядатися.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1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До таких осіб належать: </w:t>
      </w:r>
      <w:hyperlink r:id="rId15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інваліди</w:t>
        </w:r>
      </w:hyperlink>
      <w:r w:rsidRPr="007E35FF">
        <w:rPr>
          <w:sz w:val="28"/>
          <w:szCs w:val="28"/>
        </w:rPr>
        <w:t> Великої Вітчизняної війни, а також сім’ї воїнів та партизанів, що загинули та пропали безвісти, та прирівняні до них особи у передбаченому нормативно-правовими актами порядку; особи з </w:t>
      </w:r>
      <w:hyperlink r:id="rId16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інвалідністю</w:t>
        </w:r>
      </w:hyperlink>
      <w:r w:rsidRPr="007E35FF">
        <w:rPr>
          <w:sz w:val="28"/>
          <w:szCs w:val="28"/>
        </w:rPr>
        <w:t> І та ІІ групи, а також </w:t>
      </w:r>
      <w:hyperlink r:id="rId17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законні представники</w:t>
        </w:r>
      </w:hyperlink>
      <w:r w:rsidRPr="007E35FF">
        <w:rPr>
          <w:sz w:val="28"/>
          <w:szCs w:val="28"/>
        </w:rPr>
        <w:t> </w:t>
      </w:r>
      <w:hyperlink r:id="rId18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дітей з інвалідністю</w:t>
        </w:r>
      </w:hyperlink>
      <w:r>
        <w:rPr>
          <w:sz w:val="28"/>
          <w:szCs w:val="28"/>
          <w:lang w:val="en-US"/>
        </w:rPr>
        <w:t xml:space="preserve"> </w:t>
      </w:r>
      <w:r w:rsidRPr="007E35FF">
        <w:rPr>
          <w:sz w:val="28"/>
          <w:szCs w:val="28"/>
        </w:rPr>
        <w:t>та недієздатних осіб з інвалідністю; особи, яким надано статус постраждалих від Чорнобильської катастрофи 1 і 2 категорії.</w:t>
      </w:r>
    </w:p>
    <w:p w:rsidR="007E35FF" w:rsidRP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lastRenderedPageBreak/>
        <w:t>Всі зазначені статуси осіб підтверджуються відповідними посвідченнями чи довідками встановленого зразка.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rStyle w:val="a5"/>
          <w:sz w:val="28"/>
          <w:szCs w:val="28"/>
          <w:bdr w:val="none" w:sz="0" w:space="0" w:color="auto" w:frame="1"/>
        </w:rPr>
        <w:t>Категорія справ, у яких всі позивачі звільнені від сплати судового збору</w:t>
      </w:r>
    </w:p>
    <w:p w:rsid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  <w:lang w:val="en-US"/>
        </w:rPr>
      </w:pPr>
    </w:p>
    <w:p w:rsidR="007E35FF" w:rsidRP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Закон містить перелік справ, для розгляду яких позивачі не сплачують суму судового збору.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Так, не потрібно сплачувати судовий збір, подаючи позовну заяву про стягнення </w:t>
      </w:r>
      <w:hyperlink r:id="rId19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заробітної плати</w:t>
        </w:r>
      </w:hyperlink>
      <w:r w:rsidRPr="007E35FF">
        <w:rPr>
          <w:sz w:val="28"/>
          <w:szCs w:val="28"/>
        </w:rPr>
        <w:t> чи поновлення на роботі; у справах, пов’язаних зі стягненням </w:t>
      </w:r>
      <w:hyperlink r:id="rId20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аліментів</w:t>
        </w:r>
      </w:hyperlink>
      <w:r w:rsidRPr="007E35FF">
        <w:rPr>
          <w:sz w:val="28"/>
          <w:szCs w:val="28"/>
        </w:rPr>
        <w:t> та додаткових витрат на утримання дитини; у справах про відшкодування шкоди, заподіяної каліцтвом чи смертю особи; у справах щодо відшкодування моральної шкоди завданої кримінальним правопорушенням; у справах, пов’язаних зі стягненням компенсацій жертвами політичних репресій, які були реабілітовані відповідно до </w:t>
      </w:r>
      <w:hyperlink r:id="rId21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закону</w:t>
        </w:r>
      </w:hyperlink>
      <w:r w:rsidRPr="007E35FF">
        <w:rPr>
          <w:sz w:val="28"/>
          <w:szCs w:val="28"/>
        </w:rPr>
        <w:t>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Не стягується судовий збір з позивачів у деяких справах, що стосуються </w:t>
      </w:r>
      <w:hyperlink r:id="rId22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біженців</w:t>
        </w:r>
      </w:hyperlink>
      <w:r w:rsidRPr="007E35FF">
        <w:rPr>
          <w:sz w:val="28"/>
          <w:szCs w:val="28"/>
        </w:rPr>
        <w:t> та осіб, які потребують тимчасового захисту, а також у спорах, пов’язаних з присвоєнням статусу </w:t>
      </w:r>
      <w:hyperlink r:id="rId23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учасника бойових дій</w:t>
        </w:r>
      </w:hyperlink>
      <w:r w:rsidRPr="007E35FF">
        <w:rPr>
          <w:sz w:val="28"/>
          <w:szCs w:val="28"/>
        </w:rPr>
        <w:t>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rStyle w:val="a5"/>
          <w:sz w:val="28"/>
          <w:szCs w:val="28"/>
          <w:bdr w:val="none" w:sz="0" w:space="0" w:color="auto" w:frame="1"/>
        </w:rPr>
        <w:t>Звільнення від сплати судового збору певними особа у конкретних категоріях справ</w:t>
      </w:r>
    </w:p>
    <w:p w:rsidR="007E35FF" w:rsidRP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Крім того, закон встановлює певні категорій справ, для розгляду яких визначені особи чи особи з передбаченим статусом звільняються від сплати судового збору.</w:t>
      </w:r>
    </w:p>
    <w:p w:rsidR="007E35FF" w:rsidRP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Так, у справах, пов’язаних із захистом прав та законних інтересів осіб під час надання психіатричної допомоги, особи, що страждають на психічне захворювання, та їхні законні представники звільнені від сплати судового збору.</w:t>
      </w:r>
    </w:p>
    <w:p w:rsidR="007E35FF" w:rsidRP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У справах, що стосуються уточнення списків виборців, безпосередньо виборці не сплачують судовий збір.</w:t>
      </w:r>
    </w:p>
    <w:p w:rsidR="007E35FF" w:rsidRP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Також не стягується судовий збір з військовослужбовців, військовозобов’язаних та резервістів, якщо їхні позовні заяви пов’язані з виконанням військового обов’язку. А ось Герої України та учасники бойових дій не сплачують суму судового збору у разі звернення до суду з позовом про захист їхніх прав.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Слід звернути увагу, що якщо особа, яка звертається до суду, має одну з передбачених законом пільг щодо сплати судового збору, необхідно обов’язково вказувати про це у тексті позовної заяви та у разі необхідності додавати </w:t>
      </w:r>
      <w:hyperlink r:id="rId24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документи</w:t>
        </w:r>
      </w:hyperlink>
      <w:r w:rsidRPr="007E35FF">
        <w:rPr>
          <w:sz w:val="28"/>
          <w:szCs w:val="28"/>
        </w:rPr>
        <w:t>, що це підтверджують.</w:t>
      </w:r>
    </w:p>
    <w:p w:rsidR="007E35FF" w:rsidRPr="007E35FF" w:rsidRDefault="007E35FF" w:rsidP="007E35FF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Наприклад, якщо до суду звертається учасник бойових дій щодо захисту його прав до позовної заяви необхідно додати копію посвідчення, що підтверджує вказаний статус.</w:t>
      </w:r>
    </w:p>
    <w:p w:rsidR="007E35FF" w:rsidRP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 w:rsidRPr="007E35FF">
        <w:rPr>
          <w:sz w:val="28"/>
          <w:szCs w:val="28"/>
        </w:rPr>
        <w:t>Якщо позивачем виступає законний представник дитини з інвалідністю, то, окрім підтвердження статусу </w:t>
      </w:r>
      <w:hyperlink r:id="rId25" w:history="1">
        <w:r w:rsidRPr="007E35F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дитини</w:t>
        </w:r>
      </w:hyperlink>
      <w:r w:rsidRPr="007E35FF">
        <w:rPr>
          <w:sz w:val="28"/>
          <w:szCs w:val="28"/>
        </w:rPr>
        <w:t xml:space="preserve"> довідкою чи відповідним посвідченням, необхідно підтвердити наявність відповідних повноважень. Так, законним представником дитини можуть бути її батьки чи усиновлювачі, а отже, </w:t>
      </w:r>
      <w:r w:rsidRPr="007E35FF">
        <w:rPr>
          <w:sz w:val="28"/>
          <w:szCs w:val="28"/>
        </w:rPr>
        <w:lastRenderedPageBreak/>
        <w:t>наявність відповідного зв’язку між позивачем та дитиною, в чиїх інтересах він звертається і має бути підтверджено документально.</w:t>
      </w:r>
    </w:p>
    <w:p w:rsidR="007E35FF" w:rsidRDefault="007E35FF" w:rsidP="007E35FF">
      <w:pPr>
        <w:pStyle w:val="a3"/>
        <w:spacing w:before="0" w:beforeAutospacing="0" w:after="0" w:afterAutospacing="0"/>
        <w:ind w:firstLine="300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7E35FF">
        <w:rPr>
          <w:sz w:val="28"/>
          <w:szCs w:val="28"/>
        </w:rPr>
        <w:t>Маючи сумніви щодо наявності чи відсутності пільг зі сплати судового збору, а також порядку його сплати чи повернення, необхідно звернутися за консультацією до</w:t>
      </w:r>
      <w:r>
        <w:rPr>
          <w:sz w:val="28"/>
          <w:szCs w:val="28"/>
        </w:rPr>
        <w:t xml:space="preserve"> відділу «Надвірнянського  б</w:t>
      </w:r>
      <w:r>
        <w:rPr>
          <w:sz w:val="28"/>
          <w:szCs w:val="28"/>
          <w:lang w:val="en-US"/>
        </w:rPr>
        <w:t>юро</w:t>
      </w:r>
      <w:r>
        <w:rPr>
          <w:sz w:val="28"/>
          <w:szCs w:val="28"/>
        </w:rPr>
        <w:t xml:space="preserve"> правової допомоги» за </w:t>
      </w:r>
      <w:r w:rsidRPr="007E35FF">
        <w:rPr>
          <w:b/>
          <w:sz w:val="28"/>
          <w:szCs w:val="28"/>
        </w:rPr>
        <w:t xml:space="preserve">адресою : </w:t>
      </w:r>
      <w:r w:rsidRPr="00352B5E">
        <w:rPr>
          <w:b/>
          <w:sz w:val="28"/>
          <w:szCs w:val="28"/>
          <w:shd w:val="clear" w:color="auto" w:fill="FFFFFF"/>
        </w:rPr>
        <w:t>м.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352B5E">
        <w:rPr>
          <w:b/>
          <w:sz w:val="28"/>
          <w:szCs w:val="28"/>
          <w:shd w:val="clear" w:color="auto" w:fill="FFFFFF"/>
        </w:rPr>
        <w:t>Надвірна, вул.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352B5E">
        <w:rPr>
          <w:b/>
          <w:sz w:val="28"/>
          <w:szCs w:val="28"/>
          <w:shd w:val="clear" w:color="auto" w:fill="FFFFFF"/>
        </w:rPr>
        <w:t>Грушевського,18, тел.(03475)2-80-51,</w:t>
      </w:r>
    </w:p>
    <w:p w:rsidR="007E35FF" w:rsidRPr="007E35FF" w:rsidRDefault="007E35FF" w:rsidP="007E35F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52B5E">
        <w:rPr>
          <w:b/>
          <w:sz w:val="28"/>
          <w:szCs w:val="28"/>
          <w:shd w:val="clear" w:color="auto" w:fill="FFFFFF"/>
        </w:rPr>
        <w:t xml:space="preserve"> (050)-719-10-48.</w:t>
      </w:r>
    </w:p>
    <w:p w:rsidR="007E35FF" w:rsidRPr="007E35FF" w:rsidRDefault="007E35FF" w:rsidP="007E35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 w:eastAsia="uk-UA"/>
        </w:rPr>
      </w:pPr>
    </w:p>
    <w:p w:rsidR="007E35FF" w:rsidRPr="007E35FF" w:rsidRDefault="007E35FF" w:rsidP="007E35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 w:eastAsia="uk-UA"/>
        </w:rPr>
      </w:pPr>
    </w:p>
    <w:p w:rsidR="007E35FF" w:rsidRPr="007E35FF" w:rsidRDefault="007E35FF" w:rsidP="007E35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 w:eastAsia="uk-UA"/>
        </w:rPr>
      </w:pPr>
    </w:p>
    <w:p w:rsidR="007E35FF" w:rsidRPr="007E35FF" w:rsidRDefault="007E35FF" w:rsidP="007E35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7E35FF" w:rsidRPr="007E35FF" w:rsidRDefault="007E35FF" w:rsidP="007E35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 w:eastAsia="uk-UA"/>
        </w:rPr>
      </w:pPr>
    </w:p>
    <w:p w:rsidR="00051E60" w:rsidRPr="007E35FF" w:rsidRDefault="00051E60" w:rsidP="007E35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7E35F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Надвірнянське бюро правової допомоги</w:t>
      </w:r>
    </w:p>
    <w:p w:rsidR="00051E60" w:rsidRPr="007E35FF" w:rsidRDefault="00051E60" w:rsidP="007E35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7E35F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Івано-Франківського місцевого центру </w:t>
      </w:r>
    </w:p>
    <w:p w:rsidR="00051E60" w:rsidRPr="007E35FF" w:rsidRDefault="00051E60" w:rsidP="007E35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7E35F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з надання БВПД</w:t>
      </w:r>
    </w:p>
    <w:p w:rsidR="00E876BE" w:rsidRPr="007E35FF" w:rsidRDefault="00E876BE" w:rsidP="007E35FF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E876BE" w:rsidRPr="007E35FF" w:rsidRDefault="00E876BE" w:rsidP="007E35FF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E876BE" w:rsidRPr="007E35FF" w:rsidRDefault="00E876BE" w:rsidP="007E35FF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sectPr w:rsidR="00E876BE" w:rsidRPr="007E35FF" w:rsidSect="005E7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7C7"/>
    <w:multiLevelType w:val="hybridMultilevel"/>
    <w:tmpl w:val="18EA270A"/>
    <w:lvl w:ilvl="0" w:tplc="340C40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EAF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ECC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4D4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E0A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4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A9A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251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68DC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E3484B"/>
    <w:multiLevelType w:val="multilevel"/>
    <w:tmpl w:val="5FB4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22869"/>
    <w:multiLevelType w:val="multilevel"/>
    <w:tmpl w:val="14C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552C6"/>
    <w:multiLevelType w:val="multilevel"/>
    <w:tmpl w:val="947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46EFD"/>
    <w:multiLevelType w:val="multilevel"/>
    <w:tmpl w:val="398C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AE30BE"/>
    <w:multiLevelType w:val="multilevel"/>
    <w:tmpl w:val="5DB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932B8"/>
    <w:multiLevelType w:val="multilevel"/>
    <w:tmpl w:val="DF00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0699E"/>
    <w:multiLevelType w:val="multilevel"/>
    <w:tmpl w:val="37DE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78"/>
    <w:rsid w:val="00051E60"/>
    <w:rsid w:val="000A2450"/>
    <w:rsid w:val="00101C3A"/>
    <w:rsid w:val="00102789"/>
    <w:rsid w:val="00122B56"/>
    <w:rsid w:val="00130F47"/>
    <w:rsid w:val="00156552"/>
    <w:rsid w:val="00197AAD"/>
    <w:rsid w:val="001D447D"/>
    <w:rsid w:val="001D4566"/>
    <w:rsid w:val="001E7769"/>
    <w:rsid w:val="002D1278"/>
    <w:rsid w:val="00340ED6"/>
    <w:rsid w:val="00394AAE"/>
    <w:rsid w:val="003C4DC1"/>
    <w:rsid w:val="00431B4B"/>
    <w:rsid w:val="00442693"/>
    <w:rsid w:val="004774C4"/>
    <w:rsid w:val="00491A20"/>
    <w:rsid w:val="004C1F50"/>
    <w:rsid w:val="004E106F"/>
    <w:rsid w:val="005A069F"/>
    <w:rsid w:val="005E7FC0"/>
    <w:rsid w:val="00605C92"/>
    <w:rsid w:val="00612905"/>
    <w:rsid w:val="00684FE0"/>
    <w:rsid w:val="006F6979"/>
    <w:rsid w:val="007B2373"/>
    <w:rsid w:val="007E35FF"/>
    <w:rsid w:val="008009CF"/>
    <w:rsid w:val="008666FF"/>
    <w:rsid w:val="0087075A"/>
    <w:rsid w:val="008D7F1A"/>
    <w:rsid w:val="008F5817"/>
    <w:rsid w:val="00955699"/>
    <w:rsid w:val="0096488D"/>
    <w:rsid w:val="00A715E7"/>
    <w:rsid w:val="00B3123A"/>
    <w:rsid w:val="00C51A08"/>
    <w:rsid w:val="00C522E0"/>
    <w:rsid w:val="00C62018"/>
    <w:rsid w:val="00C7006E"/>
    <w:rsid w:val="00C773F1"/>
    <w:rsid w:val="00CC22C7"/>
    <w:rsid w:val="00D06F0A"/>
    <w:rsid w:val="00D57A14"/>
    <w:rsid w:val="00D81213"/>
    <w:rsid w:val="00DD2FAB"/>
    <w:rsid w:val="00E21747"/>
    <w:rsid w:val="00E66E9F"/>
    <w:rsid w:val="00E876BE"/>
    <w:rsid w:val="00EC69AF"/>
    <w:rsid w:val="00F14409"/>
    <w:rsid w:val="00F81F1F"/>
    <w:rsid w:val="00FD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1C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4DC1"/>
    <w:rPr>
      <w:i/>
      <w:iCs/>
    </w:rPr>
  </w:style>
  <w:style w:type="character" w:styleId="a5">
    <w:name w:val="Strong"/>
    <w:basedOn w:val="a0"/>
    <w:uiPriority w:val="22"/>
    <w:qFormat/>
    <w:rsid w:val="003C4D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01C3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Hyperlink"/>
    <w:basedOn w:val="a0"/>
    <w:uiPriority w:val="99"/>
    <w:unhideWhenUsed/>
    <w:rsid w:val="00101C3A"/>
    <w:rPr>
      <w:color w:val="0000FF"/>
      <w:u w:val="single"/>
    </w:rPr>
  </w:style>
  <w:style w:type="character" w:styleId="a7">
    <w:name w:val="Intense Emphasis"/>
    <w:basedOn w:val="a0"/>
    <w:uiPriority w:val="21"/>
    <w:qFormat/>
    <w:rsid w:val="00101C3A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D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D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456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76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xposedshow">
    <w:name w:val="text_exposed_show"/>
    <w:basedOn w:val="a0"/>
    <w:rsid w:val="0096488D"/>
  </w:style>
  <w:style w:type="character" w:customStyle="1" w:styleId="lead">
    <w:name w:val="lead"/>
    <w:basedOn w:val="a0"/>
    <w:rsid w:val="000A2450"/>
  </w:style>
  <w:style w:type="character" w:customStyle="1" w:styleId="highlightnode">
    <w:name w:val="highlightnode"/>
    <w:basedOn w:val="a0"/>
    <w:rsid w:val="00491A20"/>
  </w:style>
  <w:style w:type="character" w:customStyle="1" w:styleId="58cl">
    <w:name w:val="_58cl"/>
    <w:basedOn w:val="a0"/>
    <w:rsid w:val="00491A20"/>
  </w:style>
  <w:style w:type="character" w:customStyle="1" w:styleId="58cm">
    <w:name w:val="_58cm"/>
    <w:basedOn w:val="a0"/>
    <w:rsid w:val="00491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1C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4DC1"/>
    <w:rPr>
      <w:i/>
      <w:iCs/>
    </w:rPr>
  </w:style>
  <w:style w:type="character" w:styleId="a5">
    <w:name w:val="Strong"/>
    <w:basedOn w:val="a0"/>
    <w:uiPriority w:val="22"/>
    <w:qFormat/>
    <w:rsid w:val="003C4D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01C3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Hyperlink"/>
    <w:basedOn w:val="a0"/>
    <w:uiPriority w:val="99"/>
    <w:unhideWhenUsed/>
    <w:rsid w:val="00101C3A"/>
    <w:rPr>
      <w:color w:val="0000FF"/>
      <w:u w:val="single"/>
    </w:rPr>
  </w:style>
  <w:style w:type="character" w:styleId="a7">
    <w:name w:val="Intense Emphasis"/>
    <w:basedOn w:val="a0"/>
    <w:uiPriority w:val="21"/>
    <w:qFormat/>
    <w:rsid w:val="00101C3A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D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D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456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76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xposedshow">
    <w:name w:val="text_exposed_show"/>
    <w:basedOn w:val="a0"/>
    <w:rsid w:val="0096488D"/>
  </w:style>
  <w:style w:type="character" w:customStyle="1" w:styleId="lead">
    <w:name w:val="lead"/>
    <w:basedOn w:val="a0"/>
    <w:rsid w:val="000A2450"/>
  </w:style>
  <w:style w:type="character" w:customStyle="1" w:styleId="highlightnode">
    <w:name w:val="highlightnode"/>
    <w:basedOn w:val="a0"/>
    <w:rsid w:val="00491A20"/>
  </w:style>
  <w:style w:type="character" w:customStyle="1" w:styleId="58cl">
    <w:name w:val="_58cl"/>
    <w:basedOn w:val="a0"/>
    <w:rsid w:val="00491A20"/>
  </w:style>
  <w:style w:type="character" w:customStyle="1" w:styleId="58cm">
    <w:name w:val="_58cm"/>
    <w:basedOn w:val="a0"/>
    <w:rsid w:val="0049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75">
          <w:marLeft w:val="0"/>
          <w:marRight w:val="0"/>
          <w:marTop w:val="13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964">
          <w:marLeft w:val="0"/>
          <w:marRight w:val="0"/>
          <w:marTop w:val="13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97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920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85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8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50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7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BD462B"/>
                        <w:left w:val="single" w:sz="12" w:space="6" w:color="BD462B"/>
                        <w:bottom w:val="single" w:sz="12" w:space="0" w:color="BD462B"/>
                        <w:right w:val="single" w:sz="12" w:space="6" w:color="BD462B"/>
                      </w:divBdr>
                    </w:div>
                    <w:div w:id="17593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893">
          <w:marLeft w:val="0"/>
          <w:marRight w:val="0"/>
          <w:marTop w:val="240"/>
          <w:marBottom w:val="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11481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7273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  <w:div w:id="1990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096">
          <w:marLeft w:val="0"/>
          <w:marRight w:val="0"/>
          <w:marTop w:val="13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7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134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887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lex.ua/uk/blog/terms/post/sud" TargetMode="External"/><Relationship Id="rId13" Type="http://schemas.openxmlformats.org/officeDocument/2006/relationships/hyperlink" Target="https://www.bitlex.ua/uk/blog/terms/post/projytkovyy_minimum" TargetMode="External"/><Relationship Id="rId18" Type="http://schemas.openxmlformats.org/officeDocument/2006/relationships/hyperlink" Target="https://www.bitlex.ua/uk/blog/terms/post/dytyna_invali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itlex.ua/uk/blog/terms/post/zakon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bitlex.ua/uk/blog/terms/post/fizychna_osoba" TargetMode="External"/><Relationship Id="rId17" Type="http://schemas.openxmlformats.org/officeDocument/2006/relationships/hyperlink" Target="https://www.bitlex.ua/uk/blog/terms/post/zakonni_predstavnyky" TargetMode="External"/><Relationship Id="rId25" Type="http://schemas.openxmlformats.org/officeDocument/2006/relationships/hyperlink" Target="https://www.bitlex.ua/uk/blog/terms/post/dyty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tlex.ua/uk/blog/terms/post/invalidnist" TargetMode="External"/><Relationship Id="rId20" Type="http://schemas.openxmlformats.org/officeDocument/2006/relationships/hyperlink" Target="https://www.bitlex.ua/uk/blog/terms/post/aliment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tlex.ua/uk/blog/terms/post/yurydychna_osoba" TargetMode="External"/><Relationship Id="rId24" Type="http://schemas.openxmlformats.org/officeDocument/2006/relationships/hyperlink" Target="https://www.bitlex.ua/uk/blog/terms/post/dokumen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itlex.ua/uk/blog/terms/post/invalid" TargetMode="External"/><Relationship Id="rId23" Type="http://schemas.openxmlformats.org/officeDocument/2006/relationships/hyperlink" Target="https://www.bitlex.ua/uk/blog/terms/post/uchasnyky_boyovyh_diy" TargetMode="External"/><Relationship Id="rId10" Type="http://schemas.openxmlformats.org/officeDocument/2006/relationships/hyperlink" Target="https://www.bitlex.ua/uk/blog/terms/post/skarga" TargetMode="External"/><Relationship Id="rId19" Type="http://schemas.openxmlformats.org/officeDocument/2006/relationships/hyperlink" Target="https://www.bitlex.ua/uk/blog/terms/post/zarobitna_pla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tlex.ua/uk/blog/terms/post/sudovyy_zbir" TargetMode="External"/><Relationship Id="rId14" Type="http://schemas.openxmlformats.org/officeDocument/2006/relationships/hyperlink" Target="https://www.bitlex.ua/uk/blog/terms/post/pozyvach" TargetMode="External"/><Relationship Id="rId22" Type="http://schemas.openxmlformats.org/officeDocument/2006/relationships/hyperlink" Target="https://www.bitlex.ua/uk/blog/terms/post/bijenet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44EC-0FA1-4009-9DD6-688E1D0B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4310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cp:lastPrinted>2017-11-09T09:02:00Z</cp:lastPrinted>
  <dcterms:created xsi:type="dcterms:W3CDTF">2018-08-21T13:28:00Z</dcterms:created>
  <dcterms:modified xsi:type="dcterms:W3CDTF">2018-08-21T13:28:00Z</dcterms:modified>
</cp:coreProperties>
</file>