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rFonts w:ascii="Verdana" w:hAnsi="Verdana"/>
          <w:b/>
          <w:bCs/>
          <w:color w:val="000000"/>
          <w:sz w:val="20"/>
          <w:szCs w:val="20"/>
          <w:lang w:val="en-US"/>
        </w:rPr>
        <w:t xml:space="preserve">                                                                                   </w:t>
      </w:r>
      <w:r w:rsidRPr="00800884">
        <w:rPr>
          <w:b/>
          <w:bCs/>
          <w:color w:val="000000"/>
          <w:sz w:val="28"/>
          <w:szCs w:val="28"/>
        </w:rPr>
        <w:t>ЗАТВЕРДЖЕНО</w:t>
      </w:r>
    </w:p>
    <w:p w:rsidR="00B35551" w:rsidRDefault="00B35551" w:rsidP="002D5913">
      <w:pPr>
        <w:pStyle w:val="NormalWeb"/>
        <w:spacing w:before="75" w:beforeAutospacing="0" w:after="75" w:afterAutospacing="0"/>
        <w:ind w:firstLine="300"/>
        <w:jc w:val="both"/>
        <w:rPr>
          <w:b/>
          <w:bCs/>
          <w:color w:val="000000"/>
          <w:sz w:val="28"/>
          <w:szCs w:val="28"/>
        </w:rPr>
      </w:pPr>
      <w:r w:rsidRPr="00800884">
        <w:rPr>
          <w:b/>
          <w:bCs/>
          <w:color w:val="000000"/>
          <w:sz w:val="28"/>
          <w:szCs w:val="28"/>
        </w:rPr>
        <w:t>                                                                                 розпорядженн</w:t>
      </w:r>
      <w:r>
        <w:rPr>
          <w:b/>
          <w:bCs/>
          <w:color w:val="000000"/>
          <w:sz w:val="28"/>
          <w:szCs w:val="28"/>
        </w:rPr>
        <w:t>я</w:t>
      </w:r>
      <w:r w:rsidRPr="00800884">
        <w:rPr>
          <w:b/>
          <w:bCs/>
          <w:color w:val="000000"/>
          <w:sz w:val="28"/>
          <w:szCs w:val="28"/>
          <w:lang w:val="en-US"/>
        </w:rPr>
        <w:t xml:space="preserve"> </w:t>
      </w:r>
      <w:r w:rsidRPr="00800884">
        <w:rPr>
          <w:b/>
          <w:bCs/>
          <w:color w:val="000000"/>
          <w:sz w:val="28"/>
          <w:szCs w:val="28"/>
        </w:rPr>
        <w:t>районної</w:t>
      </w:r>
    </w:p>
    <w:p w:rsidR="00B35551" w:rsidRPr="00800884" w:rsidRDefault="00B35551" w:rsidP="002D5913">
      <w:pPr>
        <w:pStyle w:val="NormalWeb"/>
        <w:spacing w:before="75" w:beforeAutospacing="0" w:after="75" w:afterAutospacing="0"/>
        <w:ind w:firstLine="300"/>
        <w:jc w:val="both"/>
        <w:rPr>
          <w:color w:val="000000"/>
          <w:sz w:val="28"/>
          <w:szCs w:val="28"/>
        </w:rPr>
      </w:pPr>
      <w:r>
        <w:rPr>
          <w:b/>
          <w:bCs/>
          <w:color w:val="000000"/>
          <w:sz w:val="28"/>
          <w:szCs w:val="28"/>
        </w:rPr>
        <w:t xml:space="preserve">                                                                                 державної адміністрації</w:t>
      </w:r>
      <w:r w:rsidRPr="00800884">
        <w:rPr>
          <w:b/>
          <w:bCs/>
          <w:color w:val="000000"/>
          <w:sz w:val="28"/>
          <w:szCs w:val="28"/>
        </w:rPr>
        <w:t xml:space="preserve">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b/>
          <w:bCs/>
          <w:color w:val="000000"/>
          <w:sz w:val="28"/>
          <w:szCs w:val="28"/>
        </w:rPr>
        <w:t>                                                              </w:t>
      </w:r>
      <w:r>
        <w:rPr>
          <w:b/>
          <w:bCs/>
          <w:color w:val="000000"/>
          <w:sz w:val="28"/>
          <w:szCs w:val="28"/>
        </w:rPr>
        <w:t xml:space="preserve">                  </w:t>
      </w:r>
      <w:r w:rsidRPr="00800884">
        <w:rPr>
          <w:b/>
          <w:bCs/>
          <w:color w:val="000000"/>
          <w:sz w:val="28"/>
          <w:szCs w:val="28"/>
        </w:rPr>
        <w:t> </w:t>
      </w:r>
      <w:bookmarkStart w:id="0" w:name="_GoBack"/>
      <w:bookmarkEnd w:id="0"/>
      <w:r w:rsidRPr="00800884">
        <w:rPr>
          <w:b/>
          <w:bCs/>
          <w:color w:val="000000"/>
          <w:sz w:val="28"/>
          <w:szCs w:val="28"/>
        </w:rPr>
        <w:t>від</w:t>
      </w:r>
      <w:r w:rsidRPr="00800884">
        <w:rPr>
          <w:rStyle w:val="apple-converted-space"/>
          <w:b/>
          <w:bCs/>
          <w:color w:val="000000"/>
          <w:sz w:val="28"/>
          <w:szCs w:val="28"/>
        </w:rPr>
        <w:t> </w:t>
      </w:r>
      <w:r>
        <w:rPr>
          <w:color w:val="000000"/>
          <w:sz w:val="28"/>
          <w:szCs w:val="28"/>
        </w:rPr>
        <w:t>31.07.2018 № 187</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b/>
          <w:bCs/>
          <w:color w:val="000000"/>
          <w:sz w:val="28"/>
          <w:szCs w:val="28"/>
        </w:rPr>
        <w:t> </w:t>
      </w:r>
    </w:p>
    <w:p w:rsidR="00B35551" w:rsidRPr="00800884" w:rsidRDefault="00B35551" w:rsidP="00800884">
      <w:pPr>
        <w:pStyle w:val="NormalWeb"/>
        <w:spacing w:before="75" w:beforeAutospacing="0" w:after="75" w:afterAutospacing="0"/>
        <w:ind w:firstLine="300"/>
        <w:jc w:val="center"/>
        <w:rPr>
          <w:color w:val="000000"/>
          <w:sz w:val="28"/>
          <w:szCs w:val="28"/>
        </w:rPr>
      </w:pPr>
      <w:r w:rsidRPr="00800884">
        <w:rPr>
          <w:b/>
          <w:bCs/>
          <w:color w:val="000000"/>
          <w:sz w:val="28"/>
          <w:szCs w:val="28"/>
        </w:rPr>
        <w:t>ПОЛОЖЕННЯ</w:t>
      </w:r>
    </w:p>
    <w:p w:rsidR="00B35551" w:rsidRPr="00800884" w:rsidRDefault="00B35551" w:rsidP="00800884">
      <w:pPr>
        <w:pStyle w:val="NormalWeb"/>
        <w:spacing w:before="75" w:beforeAutospacing="0" w:after="75" w:afterAutospacing="0"/>
        <w:ind w:firstLine="300"/>
        <w:jc w:val="center"/>
        <w:rPr>
          <w:color w:val="000000"/>
          <w:sz w:val="28"/>
          <w:szCs w:val="28"/>
        </w:rPr>
      </w:pPr>
      <w:r w:rsidRPr="00800884">
        <w:rPr>
          <w:b/>
          <w:bCs/>
          <w:color w:val="000000"/>
          <w:sz w:val="28"/>
          <w:szCs w:val="28"/>
        </w:rPr>
        <w:t>про управління</w:t>
      </w:r>
      <w:r w:rsidRPr="00800884">
        <w:rPr>
          <w:rStyle w:val="apple-converted-space"/>
          <w:b/>
          <w:bCs/>
          <w:color w:val="000000"/>
          <w:sz w:val="28"/>
          <w:szCs w:val="28"/>
        </w:rPr>
        <w:t> </w:t>
      </w:r>
      <w:r w:rsidRPr="00800884">
        <w:rPr>
          <w:b/>
          <w:bCs/>
          <w:color w:val="000000"/>
          <w:sz w:val="28"/>
          <w:szCs w:val="28"/>
        </w:rPr>
        <w:t>соціального захисту населення</w:t>
      </w:r>
    </w:p>
    <w:p w:rsidR="00B35551" w:rsidRPr="00800884" w:rsidRDefault="00B35551" w:rsidP="00800884">
      <w:pPr>
        <w:pStyle w:val="NormalWeb"/>
        <w:spacing w:before="75" w:beforeAutospacing="0" w:after="75" w:afterAutospacing="0"/>
        <w:ind w:firstLine="300"/>
        <w:jc w:val="center"/>
        <w:rPr>
          <w:color w:val="000000"/>
          <w:sz w:val="28"/>
          <w:szCs w:val="28"/>
        </w:rPr>
      </w:pPr>
      <w:r>
        <w:rPr>
          <w:b/>
          <w:bCs/>
          <w:color w:val="000000"/>
          <w:sz w:val="28"/>
          <w:szCs w:val="28"/>
        </w:rPr>
        <w:t>Надвірнянської</w:t>
      </w:r>
      <w:r w:rsidRPr="00800884">
        <w:rPr>
          <w:b/>
          <w:bCs/>
          <w:color w:val="000000"/>
          <w:sz w:val="28"/>
          <w:szCs w:val="28"/>
        </w:rPr>
        <w:t xml:space="preserve"> районної</w:t>
      </w:r>
      <w:r w:rsidRPr="00800884">
        <w:rPr>
          <w:rStyle w:val="apple-converted-space"/>
          <w:b/>
          <w:bCs/>
          <w:color w:val="000000"/>
          <w:sz w:val="28"/>
          <w:szCs w:val="28"/>
        </w:rPr>
        <w:t> </w:t>
      </w:r>
      <w:r w:rsidRPr="00800884">
        <w:rPr>
          <w:b/>
          <w:bCs/>
          <w:color w:val="000000"/>
          <w:sz w:val="28"/>
          <w:szCs w:val="28"/>
        </w:rPr>
        <w:t>державної</w:t>
      </w:r>
      <w:r w:rsidRPr="00800884">
        <w:rPr>
          <w:rStyle w:val="apple-converted-space"/>
          <w:b/>
          <w:bCs/>
          <w:color w:val="000000"/>
          <w:sz w:val="28"/>
          <w:szCs w:val="28"/>
        </w:rPr>
        <w:t> </w:t>
      </w:r>
      <w:r w:rsidRPr="00800884">
        <w:rPr>
          <w:b/>
          <w:bCs/>
          <w:color w:val="000000"/>
          <w:sz w:val="28"/>
          <w:szCs w:val="28"/>
        </w:rPr>
        <w:t>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800884">
      <w:pPr>
        <w:pStyle w:val="NormalWeb"/>
        <w:spacing w:before="75" w:beforeAutospacing="0" w:after="75" w:afterAutospacing="0"/>
        <w:ind w:firstLine="300"/>
        <w:jc w:val="both"/>
        <w:rPr>
          <w:color w:val="000000"/>
          <w:sz w:val="28"/>
          <w:szCs w:val="28"/>
        </w:rPr>
      </w:pPr>
      <w:r w:rsidRPr="00800884">
        <w:rPr>
          <w:color w:val="000000"/>
          <w:sz w:val="28"/>
          <w:szCs w:val="28"/>
        </w:rPr>
        <w:t>1.</w:t>
      </w:r>
      <w:r>
        <w:rPr>
          <w:color w:val="000000"/>
          <w:sz w:val="28"/>
          <w:szCs w:val="28"/>
        </w:rPr>
        <w:t xml:space="preserve"> </w:t>
      </w:r>
      <w:r w:rsidRPr="00800884">
        <w:rPr>
          <w:color w:val="000000"/>
          <w:sz w:val="28"/>
          <w:szCs w:val="28"/>
        </w:rPr>
        <w:t>Управління соціального захисту населення районної державної адміністрації (далі – управління) утворюється головою районної державної адміністрації, входить до її складу і в межах відповідної адміністративно-територіальної одиниці забезпечує виконання покладених на цей підрозділ завдань.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 Управління підпорядковане голові районної державної адміністрації, а т</w:t>
      </w:r>
      <w:r>
        <w:rPr>
          <w:color w:val="000000"/>
          <w:sz w:val="28"/>
          <w:szCs w:val="28"/>
        </w:rPr>
        <w:t>акож підзвітне і підконтрольне д</w:t>
      </w:r>
      <w:r w:rsidRPr="00800884">
        <w:rPr>
          <w:color w:val="000000"/>
          <w:sz w:val="28"/>
          <w:szCs w:val="28"/>
        </w:rPr>
        <w:t>епартаменту соціальної політики обласної державної 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 Управління у своїй діяльності керується Конституцією та законами України, актами Президента України, Кабінету Міністрів України, наказами Міністерства соціальної політики (далі – Мінсоцполітики), розпорядженнями голови районної державної адміністрації, а також положенням про управління.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4. Основним завданням управління є забезпечення реалізації державної соціальної політики на відповідній території у сфері соціального захисту населення, що включає:</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 забезпечення реалізації державної політики у сфері соціально-трудових відносин, оплати і належних умов праці, організацію ефективного співробітництва місцевих органів виконавчої влади та органів місцевого самоврядування з профспілками та їх об’єднаннями, організаціями роботодавців та їх об’єднаннями;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 забезпечення реалізації державної політики з питань соціального захисту населення, підтримки сім'ї, попередження насильства в сім’ї, забезпечення рівності прав чоловіків та жінок, протидії торгівлі людьми, виконання програм і здійснення заходів у цій сфері;</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 призначення та виплату соціальної допомоги, компенсацій та інших соціальних виплат, встановлених законодавством України, 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4) розроблення та організацію виконання комплексних програм та заходів щодо поліпшення становища соціально вразливих верств населення, сімей та громадян, які перебувають у складних життєвих обставинах, та всебічне сприяння в отриманні ними соціальних виплат та послуг за місцем проживання, перебування;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5) забезпечення соціальної інтеграції інвалідів, сприяння створенню умов для безперешкодного доступу інвалідів до об'єктів соціальної інфраструктури;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6) здійснення нагляду за додержанням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7) розроблення та організацію виконання комплексних програм та заходів щодо  забезпечення рівних прав та можливостей чоловіків та жінок, протидії торгівлі людьми.</w:t>
      </w:r>
    </w:p>
    <w:p w:rsidR="00B35551" w:rsidRDefault="00B35551" w:rsidP="002D5913">
      <w:pPr>
        <w:pStyle w:val="NormalWeb"/>
        <w:spacing w:before="75" w:beforeAutospacing="0" w:after="75" w:afterAutospacing="0"/>
        <w:ind w:firstLine="300"/>
        <w:jc w:val="both"/>
        <w:rPr>
          <w:color w:val="000000"/>
          <w:sz w:val="28"/>
          <w:szCs w:val="28"/>
        </w:rPr>
      </w:pPr>
    </w:p>
    <w:p w:rsidR="00B35551" w:rsidRPr="00800884" w:rsidRDefault="00B35551" w:rsidP="002D5913">
      <w:pPr>
        <w:pStyle w:val="NormalWeb"/>
        <w:spacing w:before="75" w:beforeAutospacing="0" w:after="75" w:afterAutospacing="0"/>
        <w:ind w:firstLine="300"/>
        <w:jc w:val="both"/>
        <w:rPr>
          <w:color w:val="000000"/>
          <w:sz w:val="28"/>
          <w:szCs w:val="28"/>
        </w:rPr>
      </w:pPr>
      <w:r>
        <w:rPr>
          <w:color w:val="000000"/>
          <w:sz w:val="28"/>
          <w:szCs w:val="28"/>
        </w:rPr>
        <w:t>8) організацію та кординацію соціального обслуговування населення, здійснення соціальної роботи та надння соціальних послуг, у тому числі соціального супроводу сімей/осіб, шляхом розвитку спеціалізованих закладів, установ та служб та шляхом залучення недержавних організацій, які надають соціальні послуги.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5. Управління відповідно до визначених повноважень виконує такі функції: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 організовує виконання Конституції і законів України, актів Президента України, Кабінету Міністрів України, наказів Мінсоцполітики та здійснює контроль за їх реалізацією;</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 забезпечує у межах своїх повноважень захист прав і законних інтересів фізичних та юридичних осіб;</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 здійснює державний контроль за дотриманням підприємствами, установами та організаціями правил, норм, стандартів у межах визначених повноважень;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4) аналізує стан та тенденції соціального розвитку у межах відповідної адміністративно-територіальної одиниці та вживає заходів до усунення недоліків;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5) бере участь у підготовці пропозицій до проектів програм соціально-економічного розвитку відповідної адміністративно-територіальної одиниці;</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6) вносить пропозиції щодо проекту відповідного місцевого бюджету;</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7) забезпечує ефективне і цільове використання відповідних бюджетних коштів;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8) бере участь у підготовці заходів щодо регіонального розвитку;</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9) розробляє проекти розпоряджень голови районної державної 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10) бере участь у розробленні проектів розпоряджень голови районної державної адміністрації, проектів рішень, головними розробниками яких є інші структурні підрозділи;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11) бере участь у підготовці звітів голови районної державної адміністрації для їх розгляду на сесії районної ради;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12) готує самостійно або разом з іншими структурними підрозділами інформаційні та аналітичні матеріали для подання голові районної державної 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13) забезпечує здійснення заходів щодо запобігання і протидії корупції;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14) готує (бере участь у підготовці) проекти угод, договорів, меморандумів, протоколів зустрічей делегацій і робочих груп у межах своїх повноважень;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15) розглядає в установленому законодавством порядку звернення громадян;</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16) опрацьовує запити і звернення народних депутатів України та депутатів відповідних місцевих рад;</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17) забезпечує доступ до публічної інформації, розпорядником якої є управління;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18) постійно інформує населення про стан здійснення визначених законом повноважень;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19) здійснює повноваження, делеговані органами місцевого самоврядування;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20)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21) організовує роботу з укомплектування, зберігання, обліку та використання архівних документів;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22) забезпечує у межах своїх повноважень реалізацію державної політики стосовно захисту інформації з обмеженим доступом;</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23) бере участь у вирішенні відповідно до законодавства колективних трудових спорів (конфліктів);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24) забезпечує захист персональних даних;</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25) готує та подає в установленому порядку аналітичні матеріали і статистичну звітність з питань, що належать до його компетенції;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26) залучає громадські та благодійні організації до виконання соціальних програм і здійснення відповідних заходів;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27) здійснює нагляд за додержанням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28) у сфері соціально-трудових відносин, оплати праці та зайнятості населення: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забезпечує співробітництво місцевих органів виконавчої влади та органів місцевого самоврядування з профспілками та їх об’єднаннями, організаціями роботодавців та їх об’єднаннями;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повідомну реєстрацію колективних договорів, їх перевірку на відповідність чинному законодавству та забезпечує зберігання копій;</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моніторинг показників заробітної плати та своєчасності її виплати працівникам підприємств, установ, організацій всіх форм власності, а також фізичних осіб-підприємців;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забезпечує соціальний захист працівників, зайнятих на роботах зі шкідливими та важкими умовами праці, вживає заходів до якісного проведення атестації робочих місць;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бере участь у розробленні територіальної програми зайнятості населення, бере участь у реалізації інших заходів щодо поліпшення ситуації на ринку праці;</w:t>
      </w:r>
    </w:p>
    <w:p w:rsidR="00B35551" w:rsidRDefault="00B35551" w:rsidP="002D5913">
      <w:pPr>
        <w:pStyle w:val="NormalWeb"/>
        <w:spacing w:before="75" w:beforeAutospacing="0" w:after="75" w:afterAutospacing="0"/>
        <w:ind w:firstLine="300"/>
        <w:jc w:val="both"/>
        <w:rPr>
          <w:color w:val="000000"/>
          <w:sz w:val="28"/>
          <w:szCs w:val="28"/>
        </w:rPr>
      </w:pPr>
    </w:p>
    <w:p w:rsidR="00B35551" w:rsidRDefault="00B35551" w:rsidP="002D5913">
      <w:pPr>
        <w:pStyle w:val="NormalWeb"/>
        <w:spacing w:before="75" w:beforeAutospacing="0" w:after="75" w:afterAutospacing="0"/>
        <w:ind w:firstLine="300"/>
        <w:jc w:val="both"/>
        <w:rPr>
          <w:color w:val="000000"/>
          <w:sz w:val="28"/>
          <w:szCs w:val="28"/>
        </w:rPr>
      </w:pPr>
      <w:r>
        <w:rPr>
          <w:color w:val="000000"/>
          <w:sz w:val="28"/>
          <w:szCs w:val="28"/>
        </w:rPr>
        <w:t>забезпечує діяльність районної комісії у справах альтернативної (невійськової служби);</w:t>
      </w:r>
    </w:p>
    <w:p w:rsidR="00B35551" w:rsidRDefault="00B35551" w:rsidP="002D5913">
      <w:pPr>
        <w:pStyle w:val="NormalWeb"/>
        <w:spacing w:before="75" w:beforeAutospacing="0" w:after="75" w:afterAutospacing="0"/>
        <w:ind w:firstLine="300"/>
        <w:jc w:val="both"/>
        <w:rPr>
          <w:color w:val="000000"/>
          <w:sz w:val="28"/>
          <w:szCs w:val="28"/>
        </w:rPr>
      </w:pPr>
    </w:p>
    <w:p w:rsidR="00B35551" w:rsidRPr="00800884" w:rsidRDefault="00B35551" w:rsidP="002D5913">
      <w:pPr>
        <w:pStyle w:val="NormalWeb"/>
        <w:spacing w:before="75" w:beforeAutospacing="0" w:after="75" w:afterAutospacing="0"/>
        <w:ind w:firstLine="300"/>
        <w:jc w:val="both"/>
        <w:rPr>
          <w:color w:val="000000"/>
          <w:sz w:val="28"/>
          <w:szCs w:val="28"/>
        </w:rPr>
      </w:pPr>
      <w:r>
        <w:rPr>
          <w:color w:val="000000"/>
          <w:sz w:val="28"/>
          <w:szCs w:val="28"/>
        </w:rPr>
        <w:t>бере участь у виконанні заходів державних програм соціальної політики і професійної адаптації військовослужбовців, звільнених у запас або відставку зі Збройних сил та інших військових формувань.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29) з питань реалізації заходів соціальної підтримки населення: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організовує в межах своєї компетенції роботу щодо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пільг з оплати житлово-комунальних послуг, послуг зв’язку, пільг на придбання твердого палива і скрапленого газу та пільгового проїзду окремим категоріям громадян, інших пільг, передбачених законодавством України, компенсації особам, які згідно із Гірничим законом України мають право на безоплатне отримання вугілля на побутові потреби, але проживають у будинках, що мають централізоване опалення тощо;</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призначення та виплату:</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державної допомоги сім’ям з дітьми, державної соціальної допомоги малозабезпеченим сім’ям, інвалідам з дитинства та дітям-інвалідам, особам, які не мають права на пенсію та інвалідам,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одноразової матеріальної допомоги інвалідам та непрацюючим малозабезпеченим особам та особам, які проживають разом з інвалідом І чи ІІ групи внаслідок психічного розладу, компенсаційних виплат фізичним особам, які надають соціальні послуги, а також інших видів державної допомоги відповідно до законодавства України;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державної соціальної допомоги особам, які не мають права на пенсію, та інвалідам і державної соціальної допомоги на догляд;</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щомісячної компенсаційної виплати непрацюючій працездатній особі, яка доглядає за інвалідом I групи, а також за преста</w:t>
      </w:r>
      <w:r>
        <w:rPr>
          <w:color w:val="000000"/>
          <w:sz w:val="28"/>
          <w:szCs w:val="28"/>
        </w:rPr>
        <w:t xml:space="preserve">рілим, який досяг          80- </w:t>
      </w:r>
      <w:r w:rsidRPr="00800884">
        <w:rPr>
          <w:color w:val="000000"/>
          <w:sz w:val="28"/>
          <w:szCs w:val="28"/>
        </w:rPr>
        <w:t>річного віку;</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одноразової винагороди жінкам, яким присвоєно почесне звання „Мати-героїня”;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бере участь у роботі комісій, утворених при районній раді та державній адміністрації з питань соціального захисту населення;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сприяє громадянам в одержанні документів, необхідних для призначення окремих видів допомог, субсидій та надання пільг;</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проводить електронні звірки інформації від організацій-надавачів послуг щодо витрат, пов’язаних з наданням пільг окремим категоріям громадян, з відомостями, що містяться в Єдиному державному автоматизованому реєстрі осіб, які мають право на пільги;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розрахунки з організаціями-надавачами послуг за надані пільги окремим категоріям громадян та призначені житлові субсидії населенню;</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визначає право на отримання компенсації за оплату електроенергії, газу та централізованого опалення житла відповідно до Гірничого закону України, здійснює її нарахування та виплату;</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проводить інвентаризацію особових справ і особових рахунків осіб, які одержують соціальну допомогу, субсидії та пільги в установленому законодавством порядку;</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організовує прийом документів для призначення усіх видів соціальної допомоги та послуг за принципом „єдиного вікна” та забезпечує розгляд заяв та прийняття рішень відповідно до затверджених стандартів надання послуг;</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надає консультації з питань прийому документів для призначення усіх видів компенсацій, пільг, соціальної допомоги та послуг у сільській місцевості, у тому числі шляхом організації роботи „мобільних соціальних офісів”;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контроль відповідно до чинного законодавства за цільовим використанням коштів, спрямованих на надання державних соціальних допомог та інших видів соціальної підтримки, передбачених законодавством України;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організовує роботу головних державних соціальних інспекторів та державних соціальних інспекторів;</w:t>
      </w:r>
    </w:p>
    <w:p w:rsidR="00B35551" w:rsidRPr="00800884" w:rsidRDefault="00B35551" w:rsidP="009E3F3A">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30) у сфері реалізації державних соціальних гарантій окремим категоріям громадян:</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організовує призначення та виплату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 України;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підготовку документів щодо визначення статусу осіб, які постраждали внаслідок Чорнобильської катастрофи;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організовує санаторно-курортне лікування інвалідів, ветеранів війни та праці, жертв нацистських переслідувань, громадян, які постраждали внаслідок Чорнобильської катастрофи, а також виплату грошових компенсацій вартості санаторно-курортного лікування деяким категоріям громадян відповідно до законодавства України;</w:t>
      </w:r>
    </w:p>
    <w:p w:rsidR="00B35551" w:rsidRPr="00800884" w:rsidRDefault="00B35551" w:rsidP="002D5913">
      <w:pPr>
        <w:pStyle w:val="NormalWeb"/>
        <w:spacing w:before="75" w:beforeAutospacing="0" w:after="75" w:afterAutospacing="0"/>
        <w:ind w:firstLine="300"/>
        <w:jc w:val="both"/>
        <w:rPr>
          <w:color w:val="000000"/>
          <w:sz w:val="28"/>
          <w:szCs w:val="28"/>
        </w:rPr>
      </w:pP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подає пропозиції до проектів регіональних програм із соціального захисту громадян, які постраждали внаслідок Чорнобильської катастрофи;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організовує в межах своєї компетенції роботу з надання пільг пенсіонерам, інвалідам, ветеранам війни та праці, одиноким непрацездатним громадянам та іншим категоріям осіб, які мають право на пільги відповідно до законодавства України;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аналізує стан виконання комплексних програм, здійснення заходів соціальної підтримки малозабезпечених верств населення, надання встановлених законодавством пільг України соціально незахищеним громадянам та подає голові районної державної адміністрації пропозиції з цих питань;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видає відповідні посвідчення категоріям громадян, які мають право на пільги відповідно до законодавства України;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організовує та здійснює виплату одноразової матеріальної допомоги особам, які постраждали від торгівлі людьми;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31) у сфері соціальної інтеграції інвалідів: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облік інвалідів, дітей-інвалідів та інших осіб, які мають право на безоплатне забезпечення технічними та іншими засобами реабілітації;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роботу з оформлення документів для визначення права інвалідів та дітей-інвалідів на безоплатне та пільгове забезпечення автомобілями;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направлення до реабілітаційних установ інвалідів та дітей-інвалідів відповідно до поданих заяв та документів, перелік яких визначено реабілітаційною установою;</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здійснює виплату грошових компенсацій, передбачених законодавством України;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визначає потребу у забезпеченні інвалідів та окремих категорій населення технічними та іншими засобами реабілітації,  санаторно-курортним лікуванням, у здійсненні компенсаційних виплат, передбачених законодавством України, та направляє узагальнену інформацію департаменту соціальної політики облдержадміністрації;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інформує інвалідів про навчання шляхом професійної підготовки, перепідготовки або підвищення кваліфікації;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32) щодо поліпшення становища сімей, попередження насильства в сім’ї, забезпечення гендерної рівності та протидії торгівлі людьми: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реалізує заходи та програми, спрямовані на пропагування сімейних цінностей, підвищення рівня правової обізнаності, соціального і правового захисту сімей, надає у межах компетенції підприємствам, установам та організаціям, об’єднанням громадян та окремим громадянам методичну і практичну допомогу та консультації з питань запобігання насильству в сім’ї;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взаємодіє з іншими структурними підрозділами районної державної адміністрації, органами місцевого самоврядування, а також з підприємствами, установами, організаціями всіх форм власності, громадянами та об’єднаннями громадян у сфері охорони здоров’я, освіти, міграційної служби, зайнятості, внутрішніх справ та іншими, недержавними організаціями з питань надання соціальної підтримки сім’ям та дітям, забезпечення рівних прав та можливостей жінок та чоловіків, протидії торгівлі людьми;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забезпечує виконання програм та заходів щодо забезпечення рівних прав та можливостей жінок і чоловіків, надає правову, методичну та організаційну допомогу структурним підрозділам районної державної адміністрації, підприємствам, установам та організаціям з питань гендерної рівності;</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надає у межах своїх повноважень сім’ям та окремим громадянам методичну допомогу з питань запобігання насильству в сім’ї, забезпечує організацію діяльності спеціалізованих установ для запобігання насильству в сім’ї;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забезпечує виконання програм та заходів щодо протидії торгівлі людьми, надає правову, методичну та організаційну допомогу структурним підрозділам районної державної адміністрації, підприємствам, установам та організаціям з питань протидії торгівлі людьми;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забезпечує впровадження національного механізму взаємодії суб’єктів, які здійснюють заходи у сфері протидії торгівлі людьми, підготовку документів щодо встановлення статусу особи, яка постраждала від торгівлі людьми;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організовує роботу з оцінки потреб та надання допомоги особам, які постраждали від торгівлі людьми;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33) забезпечує ведення єдиної інформаційно-аналітичної системи соціального захисту населення (ІАССЗН), Єдиного державного автоматизованого реєстру осіб, які мають право на пільги (ЄДАРП); централізованого банку даних з проблем інвалідності (ЦБІ), інших інформаційних систем та реєстрів, визначених Мінсоцполітики,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34) інформує населення з питань, що належать до його компетенції, роз’яснює громадянам положення нормативно-правових актів з питань, що належать до його компетенції, у тому числі через засоби масової інформації;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35) забезпечує на відповідному рівні реалізацію міжнародних проектів із соціальних питань;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36) здійснює інші передбачені законом повноваження.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6. Управління для здійснення повноважень та виконання завдань, що визначені, має право:</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 одержувати в установленому законодавством порядку від інших структурних підрозділів райдержадміністрації,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 залучати до виконання окремих робіт, участі у вивченні окремих питань спеціалістів, фахівців інших структурних підрозділів райдержадміністрації, підприємств, установ та організацій (за погодженням з їх керівниками), представників громадських об’єднань (за згодою);</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 вносити в установленому порядку пропозиції щодо удосконалення роботи районної державної адміністрації у сфері соціального захисту населення;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4) користуватись в установленому порядку інформаційними базами органів виконавчої влади, системами зв’язку і комунікацій, мережами спеціального зв’язку та іншими технічними засобами;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5) скликати в установленому порядку наради, проводити семінари та конференції з питань, що належать до їх компетенції.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7. Управління в установленому законодавством порядку та у межах повноважень взаємодіє з іншими структурними підрозділами, апаратом районної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xml:space="preserve">8. Управління очолює начальник, який призначається на посаду і звільняється з посади головою районної державної адміністрації згідно із законодавством про державну службу за погодженням з </w:t>
      </w:r>
      <w:r>
        <w:rPr>
          <w:color w:val="000000"/>
          <w:sz w:val="28"/>
          <w:szCs w:val="28"/>
        </w:rPr>
        <w:t>обласно</w:t>
      </w:r>
      <w:r w:rsidRPr="00495C64">
        <w:rPr>
          <w:color w:val="000000"/>
          <w:sz w:val="28"/>
          <w:szCs w:val="28"/>
        </w:rPr>
        <w:t>ю</w:t>
      </w:r>
      <w:r>
        <w:rPr>
          <w:color w:val="000000"/>
          <w:sz w:val="28"/>
          <w:szCs w:val="28"/>
        </w:rPr>
        <w:t xml:space="preserve"> державною адміністрацією</w:t>
      </w:r>
      <w:r w:rsidRPr="00800884">
        <w:rPr>
          <w:color w:val="000000"/>
          <w:sz w:val="28"/>
          <w:szCs w:val="28"/>
        </w:rPr>
        <w:t>.</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9. Начальник управління, утвореного як юридична особа публічного права, здійснює повноваження з питань державної служби та організації роботи інших працівників цього управління.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10. Начальник управління: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 здійснює керівництво управлінням, несе персональну відповідальність за організацію та результати його діяльності, сприяє створенню належних умов праці в управлінні;</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2) подає на затвердження голові районної державної адміністрації положення про управління;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3) затверджує посадові інструкції працівників структурного підрозділу та розподіляє обов’язки між ними;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4) планує роботу управління, вносить пропозиції щодо формування планів роботи районної державної 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5) вживає заходів до удосконалення організації та підвищення ефективності роботи управління;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6) звітує перед головою районної державної адміністрації про виконання покладених на управління завдань та затверджених планів роботи;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7) може входити до складу колегії  районної  державної 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8) вносить пропозиції щодо розгляду на засіданнях колегії питань, що належать до компетенції управління, та розробляє проекти відповідних рішень;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9) може брати участь у засіданнях органів місцевого самоврядування;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10) представляє інтереси управління у взаємовідносинах з іншими структурними підрозділами районної державної адміністрації, з департаментом соціальної політики обласної державної адміністрації, органами місцевого самоврядування, підприємствами, установами та організаціями – за дорученням керівництва районної державної 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11) видає у межах своїх повноважень накази, організовує контроль за їх виконанням.</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Накази нормативно-правового характеру, які зачіпають права, свободи і законні інтереси громадян або мають міжвідомчий характер, підлягають державній реєстрації в районному управлінні юстиції;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12) подає на затвердження голови районної державної адміністрації, проекти кошторису та штатного розпису управління в межах визначеної граничної чисельності та фонду оплати праці його працівників;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13) розпоряджається коштами у межах затвердженого головою районної державної адміністрації кошторису структурного підрозділу;</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14) здійснює добір кадрів;</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15) організовує роботу з підвищення рівня професійної компетентності державних службовців управління;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16) проводить особистий прийом громадян з питань, що належать до повноважень управління;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17) забезпечує дотримання працівниками управління правил внутрішнього трудового розпорядку та виконавської дисципліни;</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18) здійснює інші повноваження, визначені законом.</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11. Накази начальника управління, що суперечать Конституції та законам України, актам Президента України, Кабінету Міністрів України, Мінсоцполітики, можуть бути скасовані головою районної державної адміністрації, директором департаменту соціальної політики обласної державної адміністрації.</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xml:space="preserve">12. Начальник управління може мати заступників, які призначаються на посаду та звільняються з посади </w:t>
      </w:r>
      <w:r>
        <w:rPr>
          <w:color w:val="000000"/>
          <w:sz w:val="28"/>
          <w:szCs w:val="28"/>
        </w:rPr>
        <w:t xml:space="preserve">начальником управління </w:t>
      </w:r>
      <w:r w:rsidRPr="00800884">
        <w:rPr>
          <w:color w:val="000000"/>
          <w:sz w:val="28"/>
          <w:szCs w:val="28"/>
        </w:rPr>
        <w:t>відповідно до законодавства про державну службу.</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13. Граничну чисельність, фонд оплати праці працівників управління визначає голова районної державної адміністрації у межах відповідних бюджетних призначень.</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14. Штатний розпис та кошторис управління затверджує голова районної державної адміністрації за пропозиціями начальника управління відповідно до Порядку складання, розгляду, затвердження та основних вимог до виконання кошторисів бюджетних установ, затверджених постановою Кабінету Міністрів України від 28 лютого 2002 р. № 228.</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15. Ліквідація та реорганізація управління проводиться за розпорядженням голови районної державної адміністрації згідно з чинним законодавством, установчі документи управління передбачають передачу активів одній або кільком неприбутковим організаціям відповідного виду або зарахування до доходу бюджету у разі припинення юридичної особи (у результаті її ліквідації, злиття, поділу, приєднання або перетворення).</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 </w:t>
      </w:r>
    </w:p>
    <w:p w:rsidR="00B35551" w:rsidRPr="00800884" w:rsidRDefault="00B35551" w:rsidP="002D5913">
      <w:pPr>
        <w:pStyle w:val="NormalWeb"/>
        <w:spacing w:before="75" w:beforeAutospacing="0" w:after="75" w:afterAutospacing="0"/>
        <w:ind w:firstLine="300"/>
        <w:jc w:val="both"/>
        <w:rPr>
          <w:color w:val="000000"/>
          <w:sz w:val="28"/>
          <w:szCs w:val="28"/>
        </w:rPr>
      </w:pPr>
      <w:r w:rsidRPr="00800884">
        <w:rPr>
          <w:color w:val="000000"/>
          <w:sz w:val="28"/>
          <w:szCs w:val="28"/>
        </w:rPr>
        <w:t>16. Управління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rsidR="00B35551" w:rsidRPr="00800884" w:rsidRDefault="00B35551">
      <w:pPr>
        <w:rPr>
          <w:rFonts w:ascii="Times New Roman" w:hAnsi="Times New Roman"/>
          <w:color w:val="000000"/>
          <w:sz w:val="28"/>
          <w:szCs w:val="28"/>
        </w:rPr>
      </w:pPr>
    </w:p>
    <w:sectPr w:rsidR="00B35551" w:rsidRPr="00800884" w:rsidSect="00245AA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13C6"/>
    <w:rsid w:val="00090DC4"/>
    <w:rsid w:val="00170C62"/>
    <w:rsid w:val="00245AAA"/>
    <w:rsid w:val="002D5913"/>
    <w:rsid w:val="00495C64"/>
    <w:rsid w:val="004D13C6"/>
    <w:rsid w:val="00800884"/>
    <w:rsid w:val="008416B3"/>
    <w:rsid w:val="0091394B"/>
    <w:rsid w:val="009E3F3A"/>
    <w:rsid w:val="00A56B51"/>
    <w:rsid w:val="00AC2C2B"/>
    <w:rsid w:val="00B35551"/>
    <w:rsid w:val="00B40B8B"/>
    <w:rsid w:val="00D1055D"/>
    <w:rsid w:val="00D83F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AA"/>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D591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DefaultParagraphFont"/>
    <w:uiPriority w:val="99"/>
    <w:rsid w:val="002D5913"/>
    <w:rPr>
      <w:rFonts w:cs="Times New Roman"/>
    </w:rPr>
  </w:style>
</w:styles>
</file>

<file path=word/webSettings.xml><?xml version="1.0" encoding="utf-8"?>
<w:webSettings xmlns:r="http://schemas.openxmlformats.org/officeDocument/2006/relationships" xmlns:w="http://schemas.openxmlformats.org/wordprocessingml/2006/main">
  <w:divs>
    <w:div w:id="1167094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3408</Words>
  <Characters>19429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ЗАТВЕРДЖЕНО</dc:title>
  <dc:subject/>
  <dc:creator>Admin</dc:creator>
  <cp:keywords/>
  <dc:description/>
  <cp:lastModifiedBy>Admin</cp:lastModifiedBy>
  <cp:revision>2</cp:revision>
  <dcterms:created xsi:type="dcterms:W3CDTF">2018-09-01T04:33:00Z</dcterms:created>
  <dcterms:modified xsi:type="dcterms:W3CDTF">2018-09-01T04:33:00Z</dcterms:modified>
</cp:coreProperties>
</file>