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56" w:rsidRDefault="00F37D56" w:rsidP="00F37D5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Територ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альний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сектор організації роботи повідомля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є:</w:t>
      </w:r>
      <w:proofErr w:type="gramEnd"/>
    </w:p>
    <w:p w:rsidR="00F37D56" w:rsidRPr="00F37D56" w:rsidRDefault="00F37D56" w:rsidP="00F37D5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FC0455" w:rsidRPr="002B13E9" w:rsidRDefault="00FC0455" w:rsidP="00F37D5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b/>
          <w:sz w:val="28"/>
          <w:szCs w:val="28"/>
          <w:lang w:eastAsia="ru-RU"/>
        </w:rPr>
        <w:t>Що варто знати про Деклараційну кампанію – 2021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Україні розпочалась кампанія декларування громадянами доходів, одержаних протягом 2020 року.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Подавати декларацію про майновий стан і доходи за минулий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ік щороку – це конституційний обов’язок громадян (ч. 2 ст. 67 Конституції України).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Податковим кодексом України встановлено, що обов’язковому декларуванню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ідлягають: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доходи не від податкових агентів (тобто від інших фізичних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, які не зареєстровані як самозайняті особи). Це, наприклад, доходи від надання в оренду рухомого або нерухомого майна іншим фізичним особам;  успадкування майна не від членів сім’ї першого та другого ступенів споріднення, при нотаріальному оформленні спадщини за якими не було сплачено податок на доходи фізичних осіб та військовий збі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, тощо;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доходи від податкових агентів, які не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ідлягали оподаткуванню при виплаті, але які не звільнені від оподаткування. До них відноситься, зокрема, дохід у вигляді основної суми боргу (кредиту) платника податку, прощеного (анульованого) кредитором за його самостійним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ішенням, не пов’язаним з процедурою банкрутства, до закінчення строку позовної давності, якщо його сума перевищує 25 відсотків однієї мінімальної заробітної плати (у розрахунку на рік), встановленої на 1 січня звітного податкового року, а також інвестиційних доході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іноземні доходи.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Деклараційна кампанія триватиме з початку року упродовж 4-х місяців. Граничний термін подання декларації за звітний (податковий) 2020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ік – 30 квітня 2021 року.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При декларуванні доходів платник податків може обрати зручний для себе спосіб подачі Декларації. Він може зробити це особисто або уповноваженою на це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особою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; надіслати Декларацію поштою з повідомленням про вручення та з описом вкладення; або подати її засобами електронного зв’язку в електронній формі з дотриманням вимог законів щодо електронного документообігу.</w:t>
      </w:r>
    </w:p>
    <w:p w:rsidR="00FC0455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Водночас нагадуємо, що відповідно до статті 166 Податкового кодексу України, платники податків мають право задекларувати право на податкову знижку через подання Декларації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завершення року, а саме до 31 грудня 2021 року.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0455" w:rsidRPr="002B13E9" w:rsidRDefault="00FC0455" w:rsidP="002B13E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b/>
          <w:sz w:val="28"/>
          <w:szCs w:val="28"/>
          <w:lang w:eastAsia="ru-RU"/>
        </w:rPr>
        <w:t>До уваги громадян! Приєднуйтесь до Деклараційної кампанії 2021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01 січня 2021 року фізичні особи складають і подають декларацію про майновий стан і доходи (далі – Декларація) за формою, затвердженою наказом Міністерства фінансів України від 02 жовтня 2015 року № 859 із змінами, внесеними наказом Міністерства фінансів України від 25 квітня 2019 року № 177.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Нагадуємо, що фізична особа – платник ПДФО подає декларацію про майновий стан і доходи (далі – Декларація) за звітний податковий період до контролюючого органу за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своєю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податковою адресою. Бланки Декларацій безоплатно надаються контролюючими органами платникам податку за запитом та є загальнодоступними для населення (п. 179.9 ст. 179 Податкового кодексу України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далі </w:t>
      </w:r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> ПКУ).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Податкова адреса платника податків – фізичної особи – це місце її проживання, за яким вона береться на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ік як платник податків у контролюючому органі (п. 45.1 ст. 45 ПКУ).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Платник податків – фізична особа може мати одночасно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не б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ільше однієї податкової адреси.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У разі якщо платник ПДФО проживає не за місцем реєстрації (прописки) – Декларація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подається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до контролюючого органу за податковою адресою, тобто за місцем реєстрації згідно з паспортними даними.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урахуванням норм ПКУ Декларацію подають: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● </w:t>
      </w:r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 09.02.2021 включно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 – фізичні особи –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ідприємці (ФОП) </w:t>
      </w:r>
      <w:r w:rsidRPr="002B13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(крім осіб, що обрали спрощену систему оподаткування);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● </w:t>
      </w:r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протягом 20 календарних днів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 місяця наступного за календарним місяцем, в якому проведено державну реєстрацію припинення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ідприємницької діяльності ФОП за її рішенням;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● </w:t>
      </w:r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 30.04.2021 включно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> – громадяни, які відповідно до розділу IV ПКУ зобов’язані подати Декларацію, та особи, які здійснюють незалежну професійну діяльність;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● при отриманні іноземних доходів: у разі відсутності у платника податку на доходи фізичних осіб (ПДФО)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ідтверджуючих документів щодо суми отриманого ним доходу з іноземних джерел і суми сплаченого ним податку в іноземній юрисдикції, оформлених відповідно до ст. 13 ПКУ, то згідно з п.п.  170.11.2 п. 170.11 ст. 170 ПКУ такий платник зобов’язаний подати до контролюючого органу за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своєю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податковою адресою заяву про перенесення строку подання Декларації </w:t>
      </w:r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 31 грудня року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, наступного за звітним. Заява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подається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до 01.05.2021 (граничний термін подання Декларації).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п. 49.3 ст. 49 ПКУ податкова Декларація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подається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платниками податків за місцем своєї податкової адреси в один із таких способів (за вибором):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 особисто або уповноваженою на це особою;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– надсилається поштою з повідомленням про вручення та з описом вкладення;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– засобами електронного зв’язку в електронній формі з дотриманням вимог законів щодо електронного документообігу.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0455" w:rsidRPr="002B13E9" w:rsidRDefault="00FC0455" w:rsidP="002B13E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b/>
          <w:sz w:val="28"/>
          <w:szCs w:val="28"/>
          <w:lang w:eastAsia="ru-RU"/>
        </w:rPr>
        <w:t>Закон № 1072: уразі погашення повної суми відстроченого податкового боргу у визначений строк, штрафні санкції і пеня не застосовуються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України від 04 грудня 2020 року № 1072-IX «Про внесення змін до Податкового кодексу України та інших законів України щодо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іальної підтримки платників податків на період здійснення обмежувальних 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протиепідемічних заходів, запроваджених з метою запобігання поширенню на території України гострої респіраторної хвороби COVID-19, спричиненої коронавірусом SARS-CoV-2»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ідрозділ 10 розділу ХХ «Перехідні положення» Податкового кодексу України (далі – ПКУ) доповнено новим п. 1</w:t>
      </w:r>
      <w:r w:rsidRPr="002B13E9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Нормами вищезазначеного пункту встановлено, що податковий борг платників податків – фізичних осіб, утому числі самозайнятих осіб, який у загальній сумі не перевищує 6 800 гривень, може бути врегульований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такому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порядку.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Сума податкового боргу (у тому числі штрафні санкції, пеня та проценти за користування розстроченням/відстроченням), що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іковувалася за такими платниками податків станом на 01 грудня 2020 року і залишилась непогашеною станом на дату надання відстрочення, може бути відстрочена до 29 грудня 2021 року. Відстрочення здійснюється контролюючим органом за місцем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іку платника податків – фізичної особи за його заявою. Відстрочення надається без нарахування проценті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за користування таким відстроченням.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У разі погашення платником податків повної суми відстроченого податкового боргу не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ізніше визначеного п. 1</w:t>
      </w:r>
      <w:r w:rsidRPr="002B13E9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> підрозділу 10 розділу ХХ ПКУ строку штрафні санкції і пеня, передбачені ПКУ, на такі сплачені відстрочені суми не застосовуються та не нараховуються, а застосовані (нараховані) коригуються до нульових показників.</w:t>
      </w:r>
    </w:p>
    <w:p w:rsidR="00FC0455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У разі непогашення платником податків повної суми відстроченого податкового боргу до настання визначеного цим пунктом строку, а також у разі її погашення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ісля 29 грудня 2021 року, штрафні санкції і пеня на відстрочені суми, що залишаться непогашеними, нараховуються у загальному порядку згідно з вимогами ПКУ. 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0455" w:rsidRPr="002B13E9" w:rsidRDefault="00FC0455" w:rsidP="002B13E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b/>
          <w:sz w:val="28"/>
          <w:szCs w:val="28"/>
          <w:lang w:eastAsia="ru-RU"/>
        </w:rPr>
        <w:t>Списання недоїмки, штрафних санкцій та пені з єдиного внеску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Територ</w:t>
      </w:r>
      <w:r w:rsidRPr="002B13E9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альний </w:t>
      </w:r>
      <w:r w:rsidRPr="002B13E9">
        <w:rPr>
          <w:rFonts w:ascii="Times New Roman" w:hAnsi="Times New Roman" w:cs="Times New Roman"/>
          <w:sz w:val="28"/>
          <w:szCs w:val="28"/>
          <w:lang w:val="uk-UA" w:eastAsia="ru-RU"/>
        </w:rPr>
        <w:t>сектор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організації роботи організаційно-розпорядчого управління Головного управління ДПС </w:t>
      </w:r>
      <w:r w:rsidRPr="002B13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вІвано-Франківській 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області нагадує платникам єдиного внеску про норми Закону України від 08 липня 2010 року № 2464- VI «Про збі</w:t>
      </w:r>
      <w:proofErr w:type="gramStart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та облік єдиного внеску на загальнообов'язкове державне соціальне страхування» із змінами та доповненнями. Зокрема, стосовно наданого права позбутися сум недоїмки з єдиного внеску, а також штрафі</w:t>
      </w:r>
      <w:proofErr w:type="gramStart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та пені, нараховані на ці суми недоїмки. Відповідно до зазначеного документа фізичні особи – підприємці  (крім фізичних осіб – підприємців, які обрали спрощену систему оподаткування) та особи, які провадять незалежну професійну діяльність, які за період з 1 січня 2017 року до 1 грудня 2020 року не отримували дохід (прибуток) від </w:t>
      </w:r>
      <w:proofErr w:type="gramStart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іяльності, що </w:t>
      </w:r>
      <w:proofErr w:type="gramStart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ідлягає обкладенню податком на доходи фізичних осіб, мають право на списання сум недоїмки з єдиного внеску, а також штрафів та пені, нараховані на суми недоїмки. Звертаємо увагу, що таке списання деяким </w:t>
      </w:r>
      <w:proofErr w:type="gramStart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ідприємцям буде здійснено автоматично, але не всім. Автоматично списуватиметься недоїмка яка виникла до 03.06.2020 і для списання якої вже подавалася заява раніше. Для 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списання заборгованості з єдиного внеску, яка виникла </w:t>
      </w:r>
      <w:proofErr w:type="gramStart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ісля 03.06.2020 – необхідно подати заяву до податкового органу про списання в термін до 1 березня 2021 року.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Звертаємо увагу, що списання заборгованості з єдиного внеску можливе коли: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у суб’єкта звернення відсутній дохід (прибуток) від його діяльності з 01.01.2017 до 01.12.2020;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до 01.03.2021 державному реєстратору подано заяву про державну реєстрацію припинення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ідприємницької діяльності);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до 01.03.2021 до податкового органу подано звітність з єдиного внеску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період з 01.01.2017 до 01.12.2020.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0455" w:rsidRPr="002B13E9" w:rsidRDefault="00FC0455" w:rsidP="002B13E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b/>
          <w:sz w:val="28"/>
          <w:szCs w:val="28"/>
          <w:lang w:eastAsia="ru-RU"/>
        </w:rPr>
        <w:t>15 відкритих даних, які щоденно оновлюються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ДПС здійснює оновлення </w:t>
      </w:r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41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> основного набору даних у формі відкритих даних відповідно до вимог постанови Кабінету Міні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ів України від 21 жовтня 2015 року № 835 «Про затвердження Положення про набори даних, які підлягають оприлюдненню у формі відкритих даних» зі змінами.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На сьогодні запроваджено щоденно (у робочі дні) оновлення 15 наборів даних на Порталі відкритих даних та на офіційному вебпорталі ДПС: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1.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платників податку на додану вартість </w:t>
      </w:r>
      <w:hyperlink r:id="rId4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https://data.gov.ua/dataset/4c65d66d-1923-4682-980a-9c11ce7ffdfe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2. Інформація про анулювання реєстрації платників податку на додану вартість </w:t>
      </w:r>
      <w:hyperlink r:id="rId5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https://data.gov.ua/dataset/46ec7001-f492-4af8-8cae-00ba5e5537ce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3.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платників єдиного податку </w:t>
      </w:r>
      <w:hyperlink r:id="rId6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https://data.gov.ua/dataset/198185ea-44d6-48f0-877c-44251c413f64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4.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неприбуткових установ та організацій </w:t>
      </w:r>
      <w:hyperlink r:id="rId7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https://data.gov.ua/dataset/2888f31a-9a0d-4c77-b570-0895753fa9cb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5.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платників акцизного податку з реалізації пального та спирту етилового </w:t>
      </w:r>
      <w:hyperlink r:id="rId8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https://data.gov.ua/dataset/08607f4c-b3f1-4b2f-8dbc-cd5866e5e60c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6.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оптову торгівлю тютюновими виробами </w:t>
      </w:r>
      <w:hyperlink r:id="rId9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https://data.gov.ua/dataset/367b781a-ebd8-4dcb-b133-3d69c1558763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7.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оптову торгівлю алкогольними напоями, виключно пивом для виробників пива з обсягом виробництва до 3000 гектолітрів на рік </w:t>
      </w:r>
      <w:hyperlink r:id="rId10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https://data.gov.ua/dataset/5c19fe03-fe99-457b-9051-8d280e68172b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8.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оптову торгівлю алкогольними напоями - сидром та перрі (без додавання спирту) </w:t>
      </w:r>
      <w:hyperlink r:id="rId11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https://data.gov.ua/dataset/5dfdb467-1b33-4003-ab79-169367f87576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9.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оптову торгівлю алкогольними напоями, крім сидру та перрі (без додавання спирту) </w:t>
      </w:r>
      <w:hyperlink r:id="rId12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https://data.gov.ua/dataset/4c3c066c-5333-4ea7-86f2-e7ee6ea4dbac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10.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оптову торгівлю спиртом </w:t>
      </w:r>
      <w:hyperlink r:id="rId13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https://data.gov.ua/dataset/ac16f415-a60d-408b-b0e5-902d2ebee579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11.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роздрібну торгівлю алкогольними напоями </w:t>
      </w:r>
      <w:hyperlink r:id="rId14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https://data.gov.ua/dataset/e7e5edfd-f7b6-4aaa-a02d-feba084021e7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12.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роздрібну торгівлю сидром та перрі (без додання спирту) </w:t>
      </w:r>
      <w:hyperlink r:id="rId15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https://data.gov.ua/dataset/87ed18a7-c4ef-4ed7-87d1-8cd06ca21db7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13. Ліцензійний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виданих ліцензій на роздрібну торгівлю тютюновими виробами </w:t>
      </w:r>
      <w:hyperlink r:id="rId16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https://data.gov.ua/dataset/295e8687-056a-4195-bbba-4a538489e728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14. Єдиний державний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виробників спирту етилового, коньячного і плодового, спирту етилового ректифікованого виноградного, спирту етилового ректифікованого плодового, спирту-сирцю виноградного, спирту-сирцю плодового, алкогольних напоїв та тютюнових виробів </w:t>
      </w:r>
      <w:hyperlink r:id="rId17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https://data.gov.ua/dataset/5cb0cd73-215d-4d52-80fa-b84e59fa6025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15.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суб’єктів господарювання, які здійснюють оптову торгівлю спиртом коньячним (включаючи дистиляти у вигляді головної і хвостової фракції) і плодовим на підставі ліцензії на виробництво коньяку та алкогольних напоїв за коньячною технологією </w:t>
      </w:r>
      <w:hyperlink r:id="rId18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https://data.gov.ua/dataset/d36c0be9-0380-4c85-9dab-8722205f334a</w:t>
        </w:r>
      </w:hyperlink>
      <w:r w:rsidRPr="002B13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Спілкуйся з Податковою службою дистанційно за допомогою сервісу «</w:t>
      </w:r>
      <w:hyperlink r:id="rId19" w:tgtFrame="_blank" w:history="1">
        <w:r w:rsidRPr="002B13E9">
          <w:rPr>
            <w:rFonts w:ascii="Times New Roman" w:hAnsi="Times New Roman" w:cs="Times New Roman"/>
            <w:b/>
            <w:bCs/>
            <w:color w:val="00518C"/>
            <w:sz w:val="28"/>
            <w:szCs w:val="28"/>
            <w:lang w:eastAsia="ru-RU"/>
          </w:rPr>
          <w:t>InfoTAX</w:t>
        </w:r>
      </w:hyperlink>
      <w:r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9035C" w:rsidRPr="002B13E9" w:rsidRDefault="00C9035C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C0455" w:rsidRPr="002B13E9" w:rsidRDefault="00FC0455" w:rsidP="002B13E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b/>
          <w:sz w:val="28"/>
          <w:szCs w:val="28"/>
          <w:lang w:eastAsia="ru-RU"/>
        </w:rPr>
        <w:t>Використовуєте нелегалізовану працю – штрафи збільшено!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Закон України «Про Державний бюджет України на 2021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ік» встановив розмір мінімальної заробітної плати (МЗП) з 01.01.2021 на рівні 6 000 грн., а з 01.12.2021 – 6 500 гривень.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>Новий розмі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МЗП вплинув на розмір штрафних санкцій за порушення законодавства про працю, передбачених ст. 265 Кодексу законів про працю України (далі – КЗпП).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Так, відповідно до ст. 265 КЗпП роботодавці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разі порушення законодавства про працю, несуть відповідальність у вигляді штрафу. Порядок накладення таких штрафів затверджено постановою Кабінету Міні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ів України від 17 липня 2013 року № 509 «Про затвердження Порядку накладення штрафів за порушення законодавства про працю та зайнятість населення» із змінами.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До юридичних та фізичних осіб – </w:t>
      </w:r>
      <w:proofErr w:type="gramStart"/>
      <w:r w:rsidRPr="002B13E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  <w:lang w:eastAsia="ru-RU"/>
        </w:rPr>
        <w:t>ідприємців (ФОП), які мають найманих працівників, застосовуються штрафи у разі: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фактичного допуску працівника до роботи без оформлення трудового договору (контракту), оформлення працівника на неповний робочий час у разі фактичного виконання роботи повний робочий час, установлений на підприємстві, та виплати заробітної плати (винагороди) без нарахування та сплати єдиного внеску на загальнообов’язкове державне соціальне страхування та податків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десятикратному розмірі МЗП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, встановленої законом на момент виявлення порушення, за кожного працівника, щодо якого скоєно порушення, до роботодавців юридичних осіб і ФОП, які є платниками єдиного податку першої – третьої групи застосовується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попередження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. Повторне порушення протягом 2-х років з дня виявлення порушення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тридцятикратному розмі</w:t>
      </w:r>
      <w:proofErr w:type="gramStart"/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 МЗП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, встановленої законом на момент виявлення порушення, за кожного працівника, щодо якого скоєно порушення.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порушення встановлених строків виплати заробітної плати працівникам, інших виплат, передбачених законодавством про працю, більш як за один місяць, виплата їх не в повному обсязі – у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трикратному розмірі МЗП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, встановленої законом на момент виявлення порушення;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недотримання мінімальних державних гарантій в оплаті праці (наприклад, за не оплату роботи в нічний час, роботу в вихідний або святковий день, понадурочну роботу та інші питання оплати праці)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двократному розмірі МЗП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, встановленої законом на момент виявлення порушення, за кожного працівника, щодо якого скоєно порушення;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недотримання встановлених законом гарантій та пільг працівникам, які залучаються до виконання обов’язків, передбачених законами України «Про військовий обов’язок і військову службу», «Про альтернативну (невійськову) службу», «Про мобілізаційну підготовку та мобілізацію»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чотирьохкратному розмірі МЗП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, встановленої законом на момент виявлення порушення, за кожного працівника, щодо якого скоєно порушення, а до юридичних осіб та ФОП, які використовують найману працю та є платниками єдиного податку першої – третьої групи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попередження;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недопущення до проведення перевірки з питань додержання законодавства про працю, створення перешкод у її проведенні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трикратному розмірі мінімальної заробітної плати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, встановленої законом на момент виявлення порушення;</w:t>
      </w:r>
    </w:p>
    <w:p w:rsidR="00FC0455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 xml:space="preserve"> порушення інших вимог трудового законодавства, крім передбачених абзацами другим – п’ятим частини другої статті 265 КЗпП України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розмірі МЗП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, за повторне – </w:t>
      </w:r>
      <w:r w:rsidR="00FC0455" w:rsidRPr="002B1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ромірі двух МЗП</w:t>
      </w:r>
      <w:r w:rsidR="00FC0455" w:rsidRPr="002B13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13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2B13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ідписуйтесь на Telegram-канал Державної податкової служби України</w:t>
      </w:r>
      <w:r w:rsidRPr="002B13E9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20" w:tgtFrame="_blank" w:history="1">
        <w:r w:rsidRPr="002B13E9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https://t.me/tax_gov_ua</w:t>
        </w:r>
      </w:hyperlink>
    </w:p>
    <w:p w:rsidR="00FC0455" w:rsidRPr="002B13E9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Спілкуйся з Податковою службою дистанційно за допомогою сервісу «</w:t>
      </w:r>
      <w:hyperlink r:id="rId21" w:tgtFrame="_blank" w:history="1">
        <w:r w:rsidRPr="002B13E9">
          <w:rPr>
            <w:rFonts w:ascii="Times New Roman" w:hAnsi="Times New Roman" w:cs="Times New Roman"/>
            <w:i/>
            <w:iCs/>
            <w:color w:val="00518C"/>
            <w:sz w:val="28"/>
            <w:szCs w:val="28"/>
            <w:lang w:eastAsia="ru-RU"/>
          </w:rPr>
          <w:t>InfoTAX</w:t>
        </w:r>
      </w:hyperlink>
    </w:p>
    <w:p w:rsidR="00FC0455" w:rsidRDefault="00FC0455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13E9" w:rsidRPr="002B13E9" w:rsidRDefault="002B13E9" w:rsidP="002B13E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E9">
        <w:rPr>
          <w:rFonts w:ascii="Times New Roman" w:hAnsi="Times New Roman" w:cs="Times New Roman"/>
          <w:b/>
          <w:sz w:val="28"/>
          <w:szCs w:val="28"/>
        </w:rPr>
        <w:t>Перевірити дійсність отриманих фіскальних касових чеків можна в реє</w:t>
      </w:r>
      <w:proofErr w:type="gramStart"/>
      <w:r w:rsidRPr="002B13E9">
        <w:rPr>
          <w:rFonts w:ascii="Times New Roman" w:hAnsi="Times New Roman" w:cs="Times New Roman"/>
          <w:b/>
          <w:sz w:val="28"/>
          <w:szCs w:val="28"/>
        </w:rPr>
        <w:t>стр</w:t>
      </w:r>
      <w:proofErr w:type="gramEnd"/>
      <w:r w:rsidRPr="002B13E9">
        <w:rPr>
          <w:rFonts w:ascii="Times New Roman" w:hAnsi="Times New Roman" w:cs="Times New Roman"/>
          <w:b/>
          <w:sz w:val="28"/>
          <w:szCs w:val="28"/>
        </w:rPr>
        <w:t>і «Пошук фіскального чека»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>перевірити дійсність отриманих фіскальних касових чеків покупці можуть через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 xml:space="preserve"> «Пошук фіскального чека», який знаходиться у відкритій частині Електронного кабінету, за посиланням </w:t>
      </w:r>
      <w:hyperlink r:id="rId22" w:tgtFrame="_blank" w:history="1">
        <w:r w:rsidRPr="002B13E9">
          <w:rPr>
            <w:rStyle w:val="a3"/>
            <w:rFonts w:ascii="Times New Roman" w:hAnsi="Times New Roman" w:cs="Times New Roman"/>
            <w:color w:val="00518C"/>
            <w:sz w:val="28"/>
            <w:szCs w:val="28"/>
            <w:u w:val="none"/>
          </w:rPr>
          <w:t>https://cabinet.tax.gov.ua/cashregs/check</w:t>
        </w:r>
      </w:hyperlink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>Інформація про фіскальний чек з’являється на вебпорталі ДПС в реє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 «Пошук фіскального чека» у разі: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 xml:space="preserve">фіскалізації чека у режимі онлайн – 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ісля отримання на пристрій підтвердження його фіскалізації на фіскальному сервері ДПС;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 xml:space="preserve">фіскалізації чека у режимі офлайн – 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ісля отримання від пристрою пакету даних про чеки сформовані в режимі офлайн (після відновлення зв’язку між програмним реєстратором розрахункових операцій та фіскальним сервером ДПС).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lastRenderedPageBreak/>
        <w:t xml:space="preserve">Для пошуку та перегляду 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іскального касового чеку необхідно ввести: фіскальний номер РРО, дату та час видачі чеку (для традиційних РРО). Перевірка чеку через електронний сервіс, встановлення достовірності його даних та факту передачі до ДПС, є запорукою захисту прав громадян як споживачів надання гарантії, обмін або повернення товару, усунення недоліків тощо) та оберігає від купі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 контрабандних чи фальсифікованих товарів. 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 xml:space="preserve">Якщо фіскальний чек відсутній за результатами пошуку засобами Електронного кабінету, то необхідно повторно перевірити 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 дані у пошукових реквізитах та повторити пошук.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 xml:space="preserve">У разі відсутності фіскального чеку можна надіслати лист з повідомленням про 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його в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ідсутність до ДПС. До такого повідомлення необхідно додати копію чека, який не знайдено.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>Нагадаємо, суб'єкти господарювання, які здійснюють розрахункові операції в готівковій та/або в безготівковій формі (із застосуванням електронних платіжних засобів, платіжних чеків, жетонів тощо) при продажу товарів (наданні послуг) у сфері торгі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і, громадського харчування та послуг, а також операції з приймання готівки для подальшого її переказу зобов'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язані зокрема, проводити розрахункові операції на повну суму покупки (надання послуги) через зареєстровані, опломбовані у встановленому порядку та переведені у фіскальний режим роботи реєстратори розрахункових операцій або через зареєстровані фіскальним сервером контролюючого органу програмні реєстратори розрахункових операцій зі створенням у паперовій та/або електронній формі відповідних розрахункових документ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 xml:space="preserve">ів, що </w:t>
      </w:r>
      <w:proofErr w:type="gramStart"/>
      <w:r w:rsidRPr="002B13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13E9">
        <w:rPr>
          <w:rFonts w:ascii="Times New Roman" w:hAnsi="Times New Roman" w:cs="Times New Roman"/>
          <w:sz w:val="28"/>
          <w:szCs w:val="28"/>
        </w:rPr>
        <w:t>ідтверджують виконання розрахункових операцій.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13E9">
        <w:rPr>
          <w:rFonts w:ascii="Times New Roman" w:hAnsi="Times New Roman" w:cs="Times New Roman"/>
          <w:sz w:val="28"/>
          <w:szCs w:val="28"/>
        </w:rPr>
        <w:t> </w:t>
      </w: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13E9" w:rsidRPr="002B13E9" w:rsidRDefault="002B13E9" w:rsidP="002B13E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B13E9" w:rsidRPr="002B13E9" w:rsidSect="009A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C0455"/>
    <w:rsid w:val="002B13E9"/>
    <w:rsid w:val="00681A47"/>
    <w:rsid w:val="009A1022"/>
    <w:rsid w:val="00C9035C"/>
    <w:rsid w:val="00F01F7E"/>
    <w:rsid w:val="00F37D56"/>
    <w:rsid w:val="00FC0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22"/>
  </w:style>
  <w:style w:type="paragraph" w:styleId="1">
    <w:name w:val="heading 1"/>
    <w:basedOn w:val="a"/>
    <w:link w:val="10"/>
    <w:uiPriority w:val="9"/>
    <w:qFormat/>
    <w:rsid w:val="00FC0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04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0455"/>
    <w:rPr>
      <w:b/>
      <w:bCs/>
    </w:rPr>
  </w:style>
  <w:style w:type="character" w:styleId="a6">
    <w:name w:val="Emphasis"/>
    <w:basedOn w:val="a0"/>
    <w:uiPriority w:val="20"/>
    <w:qFormat/>
    <w:rsid w:val="00FC0455"/>
    <w:rPr>
      <w:i/>
      <w:iCs/>
    </w:rPr>
  </w:style>
  <w:style w:type="paragraph" w:customStyle="1" w:styleId="16">
    <w:name w:val="16"/>
    <w:basedOn w:val="a"/>
    <w:rsid w:val="00F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B13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04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0455"/>
    <w:rPr>
      <w:b/>
      <w:bCs/>
    </w:rPr>
  </w:style>
  <w:style w:type="character" w:styleId="a6">
    <w:name w:val="Emphasis"/>
    <w:basedOn w:val="a0"/>
    <w:uiPriority w:val="20"/>
    <w:qFormat/>
    <w:rsid w:val="00FC0455"/>
    <w:rPr>
      <w:i/>
      <w:iCs/>
    </w:rPr>
  </w:style>
  <w:style w:type="paragraph" w:customStyle="1" w:styleId="16">
    <w:name w:val="16"/>
    <w:basedOn w:val="a"/>
    <w:rsid w:val="00F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B13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69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0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47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13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2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/dataset/08607f4c-b3f1-4b2f-8dbc-cd5866e5e60c" TargetMode="External"/><Relationship Id="rId13" Type="http://schemas.openxmlformats.org/officeDocument/2006/relationships/hyperlink" Target="https://data.gov.ua/dataset/ac16f415-a60d-408b-b0e5-902d2ebee579" TargetMode="External"/><Relationship Id="rId18" Type="http://schemas.openxmlformats.org/officeDocument/2006/relationships/hyperlink" Target="https://data.gov.ua/dataset/d36c0be9-0380-4c85-9dab-8722205f334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infoTAXbot" TargetMode="External"/><Relationship Id="rId7" Type="http://schemas.openxmlformats.org/officeDocument/2006/relationships/hyperlink" Target="https://data.gov.ua/dataset/2888f31a-9a0d-4c77-b570-0895753fa9cb" TargetMode="External"/><Relationship Id="rId12" Type="http://schemas.openxmlformats.org/officeDocument/2006/relationships/hyperlink" Target="https://data.gov.ua/dataset/4c3c066c-5333-4ea7-86f2-e7ee6ea4dbac" TargetMode="External"/><Relationship Id="rId17" Type="http://schemas.openxmlformats.org/officeDocument/2006/relationships/hyperlink" Target="https://data.gov.ua/dataset/5cb0cd73-215d-4d52-80fa-b84e59fa6025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data.gov.ua/dataset/295e8687-056a-4195-bbba-4a538489e728" TargetMode="External"/><Relationship Id="rId20" Type="http://schemas.openxmlformats.org/officeDocument/2006/relationships/hyperlink" Target="https://l.facebook.com/l.php?u=https%3A%2F%2Ft.me%2Ftax_gov_ua%3Ffbclid%3DIwAR15kINOc4oWpYyA-tqLlxO8phiw1XIQaklyWwjLkWRkwsWbAVH5LyZ5wt8&amp;h=AT30ogjZ-2yRZ4oTS1y1dINTwde5aQWEIamTiC8_-7Kv0_eoW9PTyA8k_xJtNWh4F5iTGr7THnL-JIIQIWmGxqBCxhMzD-ILuzGIdwXPd05Eus82k_23Xf5rxdRu0FDphgQZ&amp;__tn__=-UK-R&amp;c%5b0%5d=AT2hB3KJhselTN5IpiosmcKvzdY1s3IdkzxOU_JKe80-iB8QkVuzT36eHFiJhyxfKb4leHAIEgPoxzQXkjf9kGnZCrCmOS9IYV9k0GS0E3M1KJp5MkGjxF6Dc50i9L6g187mI15l0i87ECC1LLUqkQD6yk6ZLA9Gfg0_JASHrN-cmG1OZGSpiKLqtvcLj6hIJO5H-T1permBXq3xlGCs1A" TargetMode="External"/><Relationship Id="rId1" Type="http://schemas.openxmlformats.org/officeDocument/2006/relationships/styles" Target="styles.xml"/><Relationship Id="rId6" Type="http://schemas.openxmlformats.org/officeDocument/2006/relationships/hyperlink" Target="https://data.gov.ua/dataset/198185ea-44d6-48f0-877c-44251c413f64" TargetMode="External"/><Relationship Id="rId11" Type="http://schemas.openxmlformats.org/officeDocument/2006/relationships/hyperlink" Target="https://data.gov.ua/dataset/5dfdb467-1b33-4003-ab79-169367f8757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ata.gov.ua/dataset/46ec7001-f492-4af8-8cae-00ba5e5537ce" TargetMode="External"/><Relationship Id="rId15" Type="http://schemas.openxmlformats.org/officeDocument/2006/relationships/hyperlink" Target="https://data.gov.ua/dataset/87ed18a7-c4ef-4ed7-87d1-8cd06ca21db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ta.gov.ua/dataset/5c19fe03-fe99-457b-9051-8d280e68172b" TargetMode="External"/><Relationship Id="rId19" Type="http://schemas.openxmlformats.org/officeDocument/2006/relationships/hyperlink" Target="https://t.me/infoTAXbot" TargetMode="External"/><Relationship Id="rId4" Type="http://schemas.openxmlformats.org/officeDocument/2006/relationships/hyperlink" Target="https://data.gov.ua/dataset/4c65d66d-1923-4682-980a-9c11ce7ffdfe" TargetMode="External"/><Relationship Id="rId9" Type="http://schemas.openxmlformats.org/officeDocument/2006/relationships/hyperlink" Target="https://data.gov.ua/dataset/367b781a-ebd8-4dcb-b133-3d69c1558763" TargetMode="External"/><Relationship Id="rId14" Type="http://schemas.openxmlformats.org/officeDocument/2006/relationships/hyperlink" Target="https://data.gov.ua/dataset/e7e5edfd-f7b6-4aaa-a02d-feba084021e7" TargetMode="External"/><Relationship Id="rId22" Type="http://schemas.openxmlformats.org/officeDocument/2006/relationships/hyperlink" Target="https://cabinet.tax.gov.ua/cashregs/ch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2021-02-25T07:04:00Z</dcterms:created>
  <dcterms:modified xsi:type="dcterms:W3CDTF">2021-02-25T07:04:00Z</dcterms:modified>
</cp:coreProperties>
</file>