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AD" w:rsidRPr="00C109AD" w:rsidRDefault="00C109AD" w:rsidP="00C109AD">
      <w:pPr>
        <w:pStyle w:val="a3"/>
        <w:jc w:val="both"/>
        <w:rPr>
          <w:rFonts w:ascii="Times New Roman" w:hAnsi="Times New Roman" w:cs="Times New Roman"/>
          <w:sz w:val="28"/>
          <w:szCs w:val="28"/>
        </w:rPr>
      </w:pPr>
      <w:r w:rsidRPr="00C109AD">
        <w:rPr>
          <w:rFonts w:ascii="Times New Roman" w:hAnsi="Times New Roman" w:cs="Times New Roman"/>
          <w:sz w:val="28"/>
          <w:szCs w:val="28"/>
        </w:rPr>
        <w:t>Територіальний сектор організації роботи організаційно-розпорядчого управління ГУ ДПС в Івано-Франківській області надає інформацію для оприлюднення:</w:t>
      </w:r>
    </w:p>
    <w:p w:rsidR="00C109AD" w:rsidRDefault="00C109AD" w:rsidP="00C109AD">
      <w:pPr>
        <w:pStyle w:val="a3"/>
        <w:jc w:val="center"/>
        <w:rPr>
          <w:rFonts w:ascii="Times New Roman" w:hAnsi="Times New Roman" w:cs="Times New Roman"/>
          <w:b/>
          <w:kern w:val="36"/>
          <w:sz w:val="28"/>
          <w:szCs w:val="28"/>
          <w:lang w:val="uk-UA" w:eastAsia="ru-RU"/>
        </w:rPr>
      </w:pPr>
    </w:p>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Індивідуальні податкові консультації надаються протягом 25 календарних днів, що настають за днем отримання звернення</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Контролюючими органами відповідно до п.п. 41.1.1 п. 41.1 ст. 41 Податкового кодексу України (далі – ПКУ), зокрема, є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оподаткування (крім випадків, визначених п.п. 41.1.2 п. 41.1 ст. 41 ПКУ), законодавства з питань сплати</w:t>
      </w:r>
      <w:proofErr w:type="gramEnd"/>
      <w:r w:rsidRPr="00027481">
        <w:rPr>
          <w:rFonts w:ascii="Times New Roman" w:hAnsi="Times New Roman" w:cs="Times New Roman"/>
          <w:color w:val="000000"/>
          <w:sz w:val="28"/>
          <w:szCs w:val="28"/>
          <w:lang w:eastAsia="ru-RU"/>
        </w:rPr>
        <w:t xml:space="preserve"> єдиного внеску,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За вибором платника податків індивідуальна податкова консультація надається в усній, у паперовій або електронній формі.</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Індивідуальні податкові консультації надаються:</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-в усній формі – контролюючим органом, визначеним п.п. 41.1.1 п. 41.1 ст. 41 ПКУ, а також державними податковими інспекціями;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-у паперовій та електронній </w:t>
      </w:r>
      <w:proofErr w:type="gramStart"/>
      <w:r w:rsidRPr="00027481">
        <w:rPr>
          <w:rFonts w:ascii="Times New Roman" w:hAnsi="Times New Roman" w:cs="Times New Roman"/>
          <w:color w:val="000000"/>
          <w:sz w:val="28"/>
          <w:szCs w:val="28"/>
          <w:lang w:eastAsia="ru-RU"/>
        </w:rPr>
        <w:t>формах</w:t>
      </w:r>
      <w:proofErr w:type="gramEnd"/>
      <w:r w:rsidRPr="00027481">
        <w:rPr>
          <w:rFonts w:ascii="Times New Roman" w:hAnsi="Times New Roman" w:cs="Times New Roman"/>
          <w:color w:val="000000"/>
          <w:sz w:val="28"/>
          <w:szCs w:val="28"/>
          <w:lang w:eastAsia="ru-RU"/>
        </w:rPr>
        <w:t xml:space="preserve"> – контролюючим органом, визначеним п.п. 41.1.1 п. 41.1 ст. 41 ПКУ, крім державних податкових інспекцій.</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Індивідуальна податкова консультація, надана у паперовій або електронній формі,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ідлягає реєстрації в єдиному реєстрі індивідуальних податкових консультацій та розміщенню на офіційному вебсайті центрального органу виконавчої влади, що реалізує державну податкову політику, без зазначення найменування (прізвища, ім’я, по батькові) платника податків, коду згідно з ЄДРПОУ (реєстраційного номера </w:t>
      </w:r>
      <w:proofErr w:type="gramStart"/>
      <w:r w:rsidRPr="00027481">
        <w:rPr>
          <w:rFonts w:ascii="Times New Roman" w:hAnsi="Times New Roman" w:cs="Times New Roman"/>
          <w:color w:val="000000"/>
          <w:sz w:val="28"/>
          <w:szCs w:val="28"/>
          <w:lang w:eastAsia="ru-RU"/>
        </w:rPr>
        <w:t>обл</w:t>
      </w:r>
      <w:proofErr w:type="gramEnd"/>
      <w:r w:rsidRPr="00027481">
        <w:rPr>
          <w:rFonts w:ascii="Times New Roman" w:hAnsi="Times New Roman" w:cs="Times New Roman"/>
          <w:color w:val="000000"/>
          <w:sz w:val="28"/>
          <w:szCs w:val="28"/>
          <w:lang w:eastAsia="ru-RU"/>
        </w:rPr>
        <w:t>ікової картки) та його податкової адреси.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Єдиний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 xml:space="preserve"> індивідуальних податкових консультацій розміщено на офіційному вебпорталі ДПС за посиланням: Головна/Електронний кабінет/Реєстри/Єдиний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 xml:space="preserve"> індивідуальних податкових консультацій.</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За зверненням платників податків у паперовій або електронній формі контролюючий орган, визначений п.п. 41.1.1 п. 41.1 ст. 41 ПКУ, надає їм безоплатно індивідуальні податкові консультації з питань практичного застосування окремих норм податкового та іншого законодавства, контроль за дотриманням якого покладено на такий контролюючий орган, протягом 25 календарних днів, що настають за днем отримання</w:t>
      </w:r>
      <w:proofErr w:type="gramEnd"/>
      <w:r w:rsidRPr="00027481">
        <w:rPr>
          <w:rFonts w:ascii="Times New Roman" w:hAnsi="Times New Roman" w:cs="Times New Roman"/>
          <w:color w:val="000000"/>
          <w:sz w:val="28"/>
          <w:szCs w:val="28"/>
          <w:lang w:eastAsia="ru-RU"/>
        </w:rPr>
        <w:t xml:space="preserve"> такого звернення даним контролюючим органом.</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Звернення платників податкі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 xml:space="preserve"> на отримання індивідуальної податкової консультації у паперовій або електронній формі повинно містити: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*найменування для юридичної особи або </w:t>
      </w:r>
      <w:proofErr w:type="gramStart"/>
      <w:r w:rsidRPr="00027481">
        <w:rPr>
          <w:rFonts w:ascii="Times New Roman" w:hAnsi="Times New Roman" w:cs="Times New Roman"/>
          <w:color w:val="000000"/>
          <w:sz w:val="28"/>
          <w:szCs w:val="28"/>
          <w:lang w:eastAsia="ru-RU"/>
        </w:rPr>
        <w:t>пр</w:t>
      </w:r>
      <w:proofErr w:type="gramEnd"/>
      <w:r w:rsidRPr="00027481">
        <w:rPr>
          <w:rFonts w:ascii="Times New Roman" w:hAnsi="Times New Roman" w:cs="Times New Roman"/>
          <w:color w:val="000000"/>
          <w:sz w:val="28"/>
          <w:szCs w:val="28"/>
          <w:lang w:eastAsia="ru-RU"/>
        </w:rPr>
        <w:t>ізвище, ім’я, по батькові для фізичної особи, податкову адресу, а також номер засобу зв’язку та адресу електронної пошти, якщо такі наявні;</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*код згідно з ЄДРПОУ (для юридичних осіб) або реєстраційний номер </w:t>
      </w:r>
      <w:proofErr w:type="gramStart"/>
      <w:r w:rsidRPr="00027481">
        <w:rPr>
          <w:rFonts w:ascii="Times New Roman" w:hAnsi="Times New Roman" w:cs="Times New Roman"/>
          <w:color w:val="000000"/>
          <w:sz w:val="28"/>
          <w:szCs w:val="28"/>
          <w:lang w:eastAsia="ru-RU"/>
        </w:rPr>
        <w:t>обл</w:t>
      </w:r>
      <w:proofErr w:type="gramEnd"/>
      <w:r w:rsidRPr="00027481">
        <w:rPr>
          <w:rFonts w:ascii="Times New Roman" w:hAnsi="Times New Roman" w:cs="Times New Roman"/>
          <w:color w:val="000000"/>
          <w:sz w:val="28"/>
          <w:szCs w:val="28"/>
          <w:lang w:eastAsia="ru-RU"/>
        </w:rPr>
        <w:t xml:space="preserve">ікової картки платника податків (для фізичних осіб)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w:t>
      </w:r>
      <w:r w:rsidRPr="00027481">
        <w:rPr>
          <w:rFonts w:ascii="Times New Roman" w:hAnsi="Times New Roman" w:cs="Times New Roman"/>
          <w:color w:val="000000"/>
          <w:sz w:val="28"/>
          <w:szCs w:val="28"/>
          <w:lang w:eastAsia="ru-RU"/>
        </w:rPr>
        <w:lastRenderedPageBreak/>
        <w:t>податків та офі</w:t>
      </w:r>
      <w:proofErr w:type="gramStart"/>
      <w:r w:rsidRPr="00027481">
        <w:rPr>
          <w:rFonts w:ascii="Times New Roman" w:hAnsi="Times New Roman" w:cs="Times New Roman"/>
          <w:color w:val="000000"/>
          <w:sz w:val="28"/>
          <w:szCs w:val="28"/>
          <w:lang w:eastAsia="ru-RU"/>
        </w:rPr>
        <w:t>ційно повідомили про це відповідному контролюючому органу і мають відмітку у паспорті);</w:t>
      </w:r>
      <w:proofErr w:type="gramEnd"/>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*зазначення, в чому полягає практична необхідність отримання податкової консультації (наведення фактичних обставин);</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ідпис платника податків або кваліфікований електронний підпис;</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*дату звернення.</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На звернення платника податків, що не відповідає вимогам, зазначеним у цьому пункті, індивідуальна податкова консультація не надається, а надсилається відповідь за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ідписом керівника (заступника керівника або уповноваженої особи) у паперовій або електронній формі у порядку та строки, передбачені Законом України «Про звернення громадян».</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Уповноважена особа центрального органу виконавчої влади, що реалізує державну податкову політику, може прийняти </w:t>
      </w:r>
      <w:proofErr w:type="gramStart"/>
      <w:r w:rsidRPr="00027481">
        <w:rPr>
          <w:rFonts w:ascii="Times New Roman" w:hAnsi="Times New Roman" w:cs="Times New Roman"/>
          <w:color w:val="000000"/>
          <w:sz w:val="28"/>
          <w:szCs w:val="28"/>
          <w:lang w:eastAsia="ru-RU"/>
        </w:rPr>
        <w:t>р</w:t>
      </w:r>
      <w:proofErr w:type="gramEnd"/>
      <w:r w:rsidRPr="00027481">
        <w:rPr>
          <w:rFonts w:ascii="Times New Roman" w:hAnsi="Times New Roman" w:cs="Times New Roman"/>
          <w:color w:val="000000"/>
          <w:sz w:val="28"/>
          <w:szCs w:val="28"/>
          <w:lang w:eastAsia="ru-RU"/>
        </w:rPr>
        <w:t>ішення про продовження строку розгляду звернення на отримання індивідуальної податкової консультації понад 25-денний строк, але не більше 15 календарних днів, та письмово повідомити про це платнику податків у паперовій або електронній формі до закінчення строку, визначеного абзацом першим п. 52.1 ст. 52 ПКУ.</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У зв’язку з проведенням заходів, спрямованих на запобігання виникненню і поширенню коронавірусної хвороби згідно з п. 52. прим. 8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ідрозд. 10 розд. ХХ «Перехідні положення» ПКУ тимчасово, на період по останній календарний день місяця (включно), в якому завершується дія карантину, встановленого Кабінетом Міні</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ів України на всій території України з метою запобігання поширенню на території України коронавірусної хвороби (COVID-19), зупиняється перебіг строків, встановлених, зокрема, ст.ст. 52 і 53 ПКУ щодо надання контролюючими органами індивідуальних податкових консультацій в письмовій формі.</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З</w:t>
      </w:r>
      <w:proofErr w:type="gramEnd"/>
      <w:r w:rsidRPr="00027481">
        <w:rPr>
          <w:rFonts w:ascii="Times New Roman" w:hAnsi="Times New Roman" w:cs="Times New Roman"/>
          <w:color w:val="000000"/>
          <w:sz w:val="28"/>
          <w:szCs w:val="28"/>
          <w:lang w:eastAsia="ru-RU"/>
        </w:rPr>
        <w:t xml:space="preserve"> першого календарного дня місяця, наступного за місяцем,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перебіг строків, які зупинялися відповідно до цього пункту, продовжується з урахуванням часу, що минув до такого зупинення.</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w:t>
      </w:r>
      <w:r w:rsidRPr="00027481">
        <w:rPr>
          <w:rFonts w:ascii="Times New Roman" w:hAnsi="Times New Roman" w:cs="Times New Roman"/>
          <w:b/>
          <w:bCs/>
          <w:color w:val="000000"/>
          <w:sz w:val="28"/>
          <w:szCs w:val="28"/>
          <w:bdr w:val="none" w:sz="0" w:space="0" w:color="auto" w:frame="1"/>
          <w:lang w:eastAsia="ru-RU"/>
        </w:rPr>
        <w:t>Спілкуйся з Податковою службою дистанційно за допомогою сервісу “</w:t>
      </w:r>
      <w:hyperlink r:id="rId4" w:tgtFrame="_blank" w:history="1">
        <w:r w:rsidRPr="00027481">
          <w:rPr>
            <w:rFonts w:ascii="Times New Roman" w:hAnsi="Times New Roman" w:cs="Times New Roman"/>
            <w:b/>
            <w:bCs/>
            <w:color w:val="2D5CA6"/>
            <w:sz w:val="28"/>
            <w:szCs w:val="28"/>
            <w:bdr w:val="none" w:sz="0" w:space="0" w:color="auto" w:frame="1"/>
            <w:lang w:eastAsia="ru-RU"/>
          </w:rPr>
          <w:t>InfoTAX</w:t>
        </w:r>
      </w:hyperlink>
      <w:r w:rsidRPr="00027481">
        <w:rPr>
          <w:rFonts w:ascii="Times New Roman" w:hAnsi="Times New Roman" w:cs="Times New Roman"/>
          <w:b/>
          <w:bCs/>
          <w:color w:val="000000"/>
          <w:sz w:val="28"/>
          <w:szCs w:val="28"/>
          <w:bdr w:val="none" w:sz="0" w:space="0" w:color="auto" w:frame="1"/>
          <w:lang w:eastAsia="ru-RU"/>
        </w:rPr>
        <w:t>”</w:t>
      </w:r>
    </w:p>
    <w:p w:rsidR="00C109AD" w:rsidRDefault="00C109AD" w:rsidP="00C109AD"/>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Хто може скористатись одноразовим (</w:t>
      </w:r>
      <w:proofErr w:type="gramStart"/>
      <w:r w:rsidRPr="00027481">
        <w:rPr>
          <w:rFonts w:ascii="Times New Roman" w:hAnsi="Times New Roman" w:cs="Times New Roman"/>
          <w:b/>
          <w:kern w:val="36"/>
          <w:sz w:val="28"/>
          <w:szCs w:val="28"/>
          <w:lang w:eastAsia="ru-RU"/>
        </w:rPr>
        <w:t>спец</w:t>
      </w:r>
      <w:proofErr w:type="gramEnd"/>
      <w:r w:rsidRPr="00027481">
        <w:rPr>
          <w:rFonts w:ascii="Times New Roman" w:hAnsi="Times New Roman" w:cs="Times New Roman"/>
          <w:b/>
          <w:kern w:val="36"/>
          <w:sz w:val="28"/>
          <w:szCs w:val="28"/>
          <w:lang w:eastAsia="ru-RU"/>
        </w:rPr>
        <w:t>іальним) добровільним декларуванням, а хто не може бути декларантом?</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Скористатися одноразовим (спеціальним) добровільним декларуванням можуть наступні категорії декларанті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-фізичні особи – резиденти, </w:t>
      </w:r>
      <w:proofErr w:type="gramStart"/>
      <w:r w:rsidRPr="00027481">
        <w:rPr>
          <w:rFonts w:ascii="Times New Roman" w:hAnsi="Times New Roman" w:cs="Times New Roman"/>
          <w:color w:val="000000"/>
          <w:sz w:val="28"/>
          <w:szCs w:val="28"/>
          <w:lang w:eastAsia="ru-RU"/>
        </w:rPr>
        <w:t>у</w:t>
      </w:r>
      <w:proofErr w:type="gramEnd"/>
      <w:r w:rsidRPr="00027481">
        <w:rPr>
          <w:rFonts w:ascii="Times New Roman" w:hAnsi="Times New Roman" w:cs="Times New Roman"/>
          <w:color w:val="000000"/>
          <w:sz w:val="28"/>
          <w:szCs w:val="28"/>
          <w:lang w:eastAsia="ru-RU"/>
        </w:rPr>
        <w:t xml:space="preserve"> </w:t>
      </w:r>
      <w:proofErr w:type="gramStart"/>
      <w:r w:rsidRPr="00027481">
        <w:rPr>
          <w:rFonts w:ascii="Times New Roman" w:hAnsi="Times New Roman" w:cs="Times New Roman"/>
          <w:color w:val="000000"/>
          <w:sz w:val="28"/>
          <w:szCs w:val="28"/>
          <w:lang w:eastAsia="ru-RU"/>
        </w:rPr>
        <w:t>тому</w:t>
      </w:r>
      <w:proofErr w:type="gramEnd"/>
      <w:r w:rsidRPr="00027481">
        <w:rPr>
          <w:rFonts w:ascii="Times New Roman" w:hAnsi="Times New Roman" w:cs="Times New Roman"/>
          <w:color w:val="000000"/>
          <w:sz w:val="28"/>
          <w:szCs w:val="28"/>
          <w:lang w:eastAsia="ru-RU"/>
        </w:rPr>
        <w:t xml:space="preserve"> числі самозайняті особи;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 фізичні особи, які не є резидентами України, але які були резидентами на момент отримання (набуття) об’єктів декларування </w:t>
      </w:r>
      <w:proofErr w:type="gramStart"/>
      <w:r w:rsidRPr="00027481">
        <w:rPr>
          <w:rFonts w:ascii="Times New Roman" w:hAnsi="Times New Roman" w:cs="Times New Roman"/>
          <w:color w:val="000000"/>
          <w:sz w:val="28"/>
          <w:szCs w:val="28"/>
          <w:lang w:eastAsia="ru-RU"/>
        </w:rPr>
        <w:t>чи на</w:t>
      </w:r>
      <w:proofErr w:type="gramEnd"/>
      <w:r w:rsidRPr="00027481">
        <w:rPr>
          <w:rFonts w:ascii="Times New Roman" w:hAnsi="Times New Roman" w:cs="Times New Roman"/>
          <w:color w:val="000000"/>
          <w:sz w:val="28"/>
          <w:szCs w:val="28"/>
          <w:lang w:eastAsia="ru-RU"/>
        </w:rPr>
        <w:t xml:space="preserve"> момент нарахування (отримання) доходів, за рахунок яких були отримані (набуті) об’єкти декларування, і які відповідно до Податкового кодексу України є чи були платниками податків.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lastRenderedPageBreak/>
        <w:t xml:space="preserve">До осіб, які не можуть бути декларантами у </w:t>
      </w:r>
      <w:proofErr w:type="gramStart"/>
      <w:r w:rsidRPr="00027481">
        <w:rPr>
          <w:rFonts w:ascii="Times New Roman" w:hAnsi="Times New Roman" w:cs="Times New Roman"/>
          <w:color w:val="000000"/>
          <w:sz w:val="28"/>
          <w:szCs w:val="28"/>
          <w:lang w:eastAsia="ru-RU"/>
        </w:rPr>
        <w:t>одноразовому</w:t>
      </w:r>
      <w:proofErr w:type="gramEnd"/>
      <w:r w:rsidRPr="00027481">
        <w:rPr>
          <w:rFonts w:ascii="Times New Roman" w:hAnsi="Times New Roman" w:cs="Times New Roman"/>
          <w:color w:val="000000"/>
          <w:sz w:val="28"/>
          <w:szCs w:val="28"/>
          <w:lang w:eastAsia="ru-RU"/>
        </w:rPr>
        <w:t xml:space="preserve"> (спеціальному) добровільному декларуванні належать:</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-особи, які станом на дату початку періоду одноразового (спеціального) добровільного декларування є малолітніми/неповнолітніми або недієздатними особами і при цьому перебувають на повному утриманні інших осіб (у тому числі батьків) та/або держави, або є особами, дієздатність яких обмежена і над такими особами встановлена опіка/</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іклування;</w:t>
      </w:r>
      <w:r w:rsidRPr="00027481">
        <w:rPr>
          <w:rFonts w:ascii="Times New Roman" w:hAnsi="Times New Roman" w:cs="Times New Roman"/>
          <w:color w:val="000000"/>
          <w:sz w:val="28"/>
          <w:szCs w:val="28"/>
          <w:lang w:eastAsia="ru-RU"/>
        </w:rPr>
        <w:br/>
        <w:t xml:space="preserve">-особи, які за будь-який </w:t>
      </w:r>
      <w:proofErr w:type="gramStart"/>
      <w:r w:rsidRPr="00027481">
        <w:rPr>
          <w:rFonts w:ascii="Times New Roman" w:hAnsi="Times New Roman" w:cs="Times New Roman"/>
          <w:color w:val="000000"/>
          <w:sz w:val="28"/>
          <w:szCs w:val="28"/>
          <w:lang w:eastAsia="ru-RU"/>
        </w:rPr>
        <w:t>р</w:t>
      </w:r>
      <w:proofErr w:type="gramEnd"/>
      <w:r w:rsidRPr="00027481">
        <w:rPr>
          <w:rFonts w:ascii="Times New Roman" w:hAnsi="Times New Roman" w:cs="Times New Roman"/>
          <w:color w:val="000000"/>
          <w:sz w:val="28"/>
          <w:szCs w:val="28"/>
          <w:lang w:eastAsia="ru-RU"/>
        </w:rPr>
        <w:t>ік, починаючи з 01 січня 2005 року, подавали або мають подавати декларації відповідно до законів, що визначають чи визначали правові та організаційні засади у сфері запобігання корупції (крім тих, які претендували або претендують на зайняття посад, перебування на яких вимагає чи вимагало від особи подання відповідної декларації, та не були призначені або обрані на відповідні посади).</w:t>
      </w:r>
    </w:p>
    <w:p w:rsidR="00C109AD" w:rsidRDefault="00C109AD" w:rsidP="00C109AD">
      <w:pPr>
        <w:pStyle w:val="a3"/>
        <w:jc w:val="both"/>
        <w:rPr>
          <w:rFonts w:ascii="Times New Roman" w:hAnsi="Times New Roman" w:cs="Times New Roman"/>
          <w:color w:val="000000"/>
          <w:sz w:val="28"/>
          <w:szCs w:val="28"/>
          <w:lang w:val="uk-UA" w:eastAsia="ru-RU"/>
        </w:rPr>
      </w:pPr>
      <w:r w:rsidRPr="00027481">
        <w:rPr>
          <w:rFonts w:ascii="Times New Roman" w:hAnsi="Times New Roman" w:cs="Times New Roman"/>
          <w:color w:val="000000"/>
          <w:sz w:val="28"/>
          <w:szCs w:val="28"/>
          <w:lang w:eastAsia="ru-RU"/>
        </w:rPr>
        <w:t>Довідково: Загальнодоступний інформаційно-довідковий ресурс (категорія 134.01).</w:t>
      </w:r>
    </w:p>
    <w:p w:rsidR="00C109AD" w:rsidRPr="00027481" w:rsidRDefault="00C109AD" w:rsidP="00C109AD">
      <w:pPr>
        <w:pStyle w:val="a3"/>
        <w:jc w:val="both"/>
        <w:rPr>
          <w:rFonts w:ascii="Times New Roman" w:hAnsi="Times New Roman" w:cs="Times New Roman"/>
          <w:color w:val="000000"/>
          <w:sz w:val="28"/>
          <w:szCs w:val="28"/>
          <w:lang w:val="uk-UA" w:eastAsia="ru-RU"/>
        </w:rPr>
      </w:pPr>
    </w:p>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Чи застосовуються РРО або програмні РРО при наданні ломбардами фінансових послуг?</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val="uk-UA" w:eastAsia="ru-RU"/>
        </w:rPr>
        <w:t>С</w:t>
      </w:r>
      <w:r w:rsidRPr="00027481">
        <w:rPr>
          <w:rFonts w:ascii="Times New Roman" w:hAnsi="Times New Roman" w:cs="Times New Roman"/>
          <w:color w:val="000000"/>
          <w:sz w:val="28"/>
          <w:szCs w:val="28"/>
          <w:lang w:eastAsia="ru-RU"/>
        </w:rPr>
        <w:t xml:space="preserve">т. </w:t>
      </w:r>
      <w:proofErr w:type="gramStart"/>
      <w:r w:rsidRPr="00027481">
        <w:rPr>
          <w:rFonts w:ascii="Times New Roman" w:hAnsi="Times New Roman" w:cs="Times New Roman"/>
          <w:color w:val="000000"/>
          <w:sz w:val="28"/>
          <w:szCs w:val="28"/>
          <w:lang w:eastAsia="ru-RU"/>
        </w:rPr>
        <w:t>1 Закону України від 12 липня 2001 року № 2664-ІІІ «Про фінансові послуги та державне регулювання ринків фінансових послуг» із змінами та доповненнями встановлено, що ломбарди належать до фінансових установ і здійснюють свою діяльність у сфері надання фінансових послуг, зокрема, надання коштів у позику.</w:t>
      </w:r>
      <w:proofErr w:type="gramEnd"/>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Відповідно до п. 1 ст. 3 Закону України від 06 липня 1995 року № 265/95-ВР «Про застосування реєстраторів розрахункових операцій у сфері торгі</w:t>
      </w:r>
      <w:proofErr w:type="gramStart"/>
      <w:r w:rsidRPr="00027481">
        <w:rPr>
          <w:rFonts w:ascii="Times New Roman" w:hAnsi="Times New Roman" w:cs="Times New Roman"/>
          <w:color w:val="000000"/>
          <w:sz w:val="28"/>
          <w:szCs w:val="28"/>
          <w:lang w:eastAsia="ru-RU"/>
        </w:rPr>
        <w:t>вл</w:t>
      </w:r>
      <w:proofErr w:type="gramEnd"/>
      <w:r w:rsidRPr="00027481">
        <w:rPr>
          <w:rFonts w:ascii="Times New Roman" w:hAnsi="Times New Roman" w:cs="Times New Roman"/>
          <w:color w:val="000000"/>
          <w:sz w:val="28"/>
          <w:szCs w:val="28"/>
          <w:lang w:eastAsia="ru-RU"/>
        </w:rPr>
        <w:t>і, громадського харчування та послуг»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w:t>
      </w:r>
      <w:proofErr w:type="gramStart"/>
      <w:r w:rsidRPr="00027481">
        <w:rPr>
          <w:rFonts w:ascii="Times New Roman" w:hAnsi="Times New Roman" w:cs="Times New Roman"/>
          <w:color w:val="000000"/>
          <w:sz w:val="28"/>
          <w:szCs w:val="28"/>
          <w:lang w:eastAsia="ru-RU"/>
        </w:rPr>
        <w:t>вл</w:t>
      </w:r>
      <w:proofErr w:type="gramEnd"/>
      <w:r w:rsidRPr="00027481">
        <w:rPr>
          <w:rFonts w:ascii="Times New Roman" w:hAnsi="Times New Roman" w:cs="Times New Roman"/>
          <w:color w:val="000000"/>
          <w:sz w:val="28"/>
          <w:szCs w:val="28"/>
          <w:lang w:eastAsia="ru-RU"/>
        </w:rPr>
        <w:t xml:space="preserve">і, громадського харчування та послуг, а також операції з приймання готівки для подальшого її переказу зобов’язані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реєстратори розрахункових операцій (далі – РРО) або через зареєстровані фіскальним сервером контролюючого органу програмні РРО зі створенням у паперовій та/або електронній формі відповідних розрахункових документів, що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ідтверджують виконання розрахункових операцій, або у випадках, передбачених Законом № 265, із застосуванням зареєстрованих у встановленому порядку розрахункових книжок.</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Отже, суб’єкт господарювання, який здійснює свою діяльність у сфері надання фінансових послуг, зокрема, надання кошті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 xml:space="preserve"> у позику ломбардами, повинен проводити розрахункові операції із застосовуванням РРО або програмних РРО.</w:t>
      </w:r>
    </w:p>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Яку суму коштів повинна задекларувати фізична особа, яка має у власності 405 тис</w:t>
      </w:r>
      <w:proofErr w:type="gramStart"/>
      <w:r w:rsidRPr="00027481">
        <w:rPr>
          <w:rFonts w:ascii="Times New Roman" w:hAnsi="Times New Roman" w:cs="Times New Roman"/>
          <w:b/>
          <w:kern w:val="36"/>
          <w:sz w:val="28"/>
          <w:szCs w:val="28"/>
          <w:lang w:eastAsia="ru-RU"/>
        </w:rPr>
        <w:t>.</w:t>
      </w:r>
      <w:proofErr w:type="gramEnd"/>
      <w:r w:rsidRPr="00027481">
        <w:rPr>
          <w:rFonts w:ascii="Times New Roman" w:hAnsi="Times New Roman" w:cs="Times New Roman"/>
          <w:b/>
          <w:kern w:val="36"/>
          <w:sz w:val="28"/>
          <w:szCs w:val="28"/>
          <w:lang w:eastAsia="ru-RU"/>
        </w:rPr>
        <w:t xml:space="preserve"> </w:t>
      </w:r>
      <w:proofErr w:type="gramStart"/>
      <w:r w:rsidRPr="00027481">
        <w:rPr>
          <w:rFonts w:ascii="Times New Roman" w:hAnsi="Times New Roman" w:cs="Times New Roman"/>
          <w:b/>
          <w:kern w:val="36"/>
          <w:sz w:val="28"/>
          <w:szCs w:val="28"/>
          <w:lang w:eastAsia="ru-RU"/>
        </w:rPr>
        <w:t>г</w:t>
      </w:r>
      <w:proofErr w:type="gramEnd"/>
      <w:r w:rsidRPr="00027481">
        <w:rPr>
          <w:rFonts w:ascii="Times New Roman" w:hAnsi="Times New Roman" w:cs="Times New Roman"/>
          <w:b/>
          <w:kern w:val="36"/>
          <w:sz w:val="28"/>
          <w:szCs w:val="28"/>
          <w:lang w:eastAsia="ru-RU"/>
        </w:rPr>
        <w:t>рн та виявила бажання скористатись правом на подання одноразової (спеціальної) добровільної декларації ?</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Відповідно до п. 1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ідрозділу 9 прим. 4 розділу ХХ «Перехідні положення» Податкового кодексу України (далі – ПКУ) одноразове (спеціальне) </w:t>
      </w:r>
      <w:r w:rsidRPr="00027481">
        <w:rPr>
          <w:rFonts w:ascii="Times New Roman" w:hAnsi="Times New Roman" w:cs="Times New Roman"/>
          <w:color w:val="000000"/>
          <w:sz w:val="28"/>
          <w:szCs w:val="28"/>
          <w:lang w:eastAsia="ru-RU"/>
        </w:rPr>
        <w:lastRenderedPageBreak/>
        <w:t xml:space="preserve">добровільне декларування – це особливий порядок добровільного декларування фізичною особою, визначеною п. 3 підрозділу 9 прим. 4 розділу ХХ «Перехідні положення» ПКУ, належних їй активів, розміщених на території України та/або за її межами, якщо такі активи фізичної особи були одержані (набуті) такою фізичною особою за рахунок доходів, що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ідлягали в момент їх нарахування (отримання) оподаткуванню в Україні та з яких не були сплачені або сплачені не в повному обсязі податки і збори відповідно до вимог законодавства з питань </w:t>
      </w:r>
      <w:proofErr w:type="gramStart"/>
      <w:r w:rsidRPr="00027481">
        <w:rPr>
          <w:rFonts w:ascii="Times New Roman" w:hAnsi="Times New Roman" w:cs="Times New Roman"/>
          <w:color w:val="000000"/>
          <w:sz w:val="28"/>
          <w:szCs w:val="28"/>
          <w:lang w:eastAsia="ru-RU"/>
        </w:rPr>
        <w:t>оподаткування та/або міжнародних договорів, згода на обов’язковість яких надана Верховною Радою України, та/або які не були задекларовані в порушення податкового та валютного законодавства, контроль за дотриманням якого покладено на контролюючі органи, протягом будь-якого з податкових періодів, що мали місце до 01 січня 2021 року.</w:t>
      </w:r>
      <w:proofErr w:type="gramEnd"/>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При цьому об’єктами одноразового (спеціального) добровільного декларування можуть бути визначені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ідпунктами 14.1.280 і 14.1.281 п. 14.1 ст. 14 ПКУ активи фізичної особи, що належать декларанту на праві власності (в тому числі на праві спільної часткової або на праві спільної сумісної власності) і знаходяться (зареєстровані, перебувають в обігу, є на обліку тощо) на </w:t>
      </w:r>
      <w:proofErr w:type="gramStart"/>
      <w:r w:rsidRPr="00027481">
        <w:rPr>
          <w:rFonts w:ascii="Times New Roman" w:hAnsi="Times New Roman" w:cs="Times New Roman"/>
          <w:color w:val="000000"/>
          <w:sz w:val="28"/>
          <w:szCs w:val="28"/>
          <w:lang w:eastAsia="ru-RU"/>
        </w:rPr>
        <w:t>території України та/або за її межами станом на дату подання одноразової (спеціальної) добровільної декларації (далі – Декларація), зокрема валютні цінності (банківські метали, крім тих, що не розміщені на рахунках, національна валюта (гривня) та іноземна валюта, крім коштів у готівковій формі, та права грошової вимоги (у тому числі депозит</w:t>
      </w:r>
      <w:proofErr w:type="gramEnd"/>
      <w:r w:rsidRPr="00027481">
        <w:rPr>
          <w:rFonts w:ascii="Times New Roman" w:hAnsi="Times New Roman" w:cs="Times New Roman"/>
          <w:color w:val="000000"/>
          <w:sz w:val="28"/>
          <w:szCs w:val="28"/>
          <w:lang w:eastAsia="ru-RU"/>
        </w:rPr>
        <w:t xml:space="preserve"> (вклад), кошти, позичені третім особам за договором позики), оформлені у письмовій формі з юридичною особою або нотаріально посвідчені у разі виникнення права вимоги декларанта до іншої фізичної особи (п.п. «а» п. 4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ідрозділу 9 прим. 4 розділу ХХ «Перехідні положення» ПКУ).</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Водночас, згідно з п. 9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ідрозділу 9 прим. 4 розділу ХХ «Перехідні положення» ПКУ для цілей одноразового (спеціального) добровільного декларування декларант має розмістити кошти в національній та іноземній валютах у готівковій формі та/або банківських металах на поточних рахунках із спеціальним режимом використання в </w:t>
      </w:r>
      <w:proofErr w:type="gramStart"/>
      <w:r w:rsidRPr="00027481">
        <w:rPr>
          <w:rFonts w:ascii="Times New Roman" w:hAnsi="Times New Roman" w:cs="Times New Roman"/>
          <w:color w:val="000000"/>
          <w:sz w:val="28"/>
          <w:szCs w:val="28"/>
          <w:lang w:eastAsia="ru-RU"/>
        </w:rPr>
        <w:t>банках</w:t>
      </w:r>
      <w:proofErr w:type="gramEnd"/>
      <w:r w:rsidRPr="00027481">
        <w:rPr>
          <w:rFonts w:ascii="Times New Roman" w:hAnsi="Times New Roman" w:cs="Times New Roman"/>
          <w:color w:val="000000"/>
          <w:sz w:val="28"/>
          <w:szCs w:val="28"/>
          <w:lang w:eastAsia="ru-RU"/>
        </w:rPr>
        <w:t xml:space="preserve"> України (далі – спеціальний рахунок) до Декларації.</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Декларант з метою забезпечення виконання положень п. 9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ідрозділу 9 прим. 4 розділу ХХ «Перехідні положення» ПКУ звертається до банку для відкриття спеціального рахунку. Порядок відкриття, закриття, зарахування кошті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 xml:space="preserve"> на спеціальний рахунок і здійснення контролю за операціями за таким рахунком встановлюються Національним банком України.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Разом з тим, п.п. 1 п. 10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ідрозділу 9 прим. 4 розділу ХХ «Перехідні положення» ПКУ визначено, що склад та обсяг активів, джерела одержання (набуття) яких у разі невикористання фізичною особою права на подання Декларації вважаються такими, з яких повністю сплачено податки і збори відповідно до податкового законодавства, становлять активи, крім визначених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 xml:space="preserve">ідпунктами 2 і 3 п. 10 підрозділу 9 прим. 4 розділу ХХ «Перехідні положення» ПКУ, сумарна вартість яких не перевищує 400 тис. грн станом на дату завершення періоду одноразового (спеціального) добровільного декларування. У разі якщо грошова вартість таких активів визначена в іноземній валюті/банківських металах, їх вартість зазначається у гривні за офіційним </w:t>
      </w:r>
      <w:r w:rsidRPr="00027481">
        <w:rPr>
          <w:rFonts w:ascii="Times New Roman" w:hAnsi="Times New Roman" w:cs="Times New Roman"/>
          <w:color w:val="000000"/>
          <w:sz w:val="28"/>
          <w:szCs w:val="28"/>
          <w:lang w:eastAsia="ru-RU"/>
        </w:rPr>
        <w:lastRenderedPageBreak/>
        <w:t>курсом національної валюти до іноземної валюти, установленим Національним банком України/</w:t>
      </w:r>
      <w:proofErr w:type="gramStart"/>
      <w:r w:rsidRPr="00027481">
        <w:rPr>
          <w:rFonts w:ascii="Times New Roman" w:hAnsi="Times New Roman" w:cs="Times New Roman"/>
          <w:color w:val="000000"/>
          <w:sz w:val="28"/>
          <w:szCs w:val="28"/>
          <w:lang w:eastAsia="ru-RU"/>
        </w:rPr>
        <w:t>обл</w:t>
      </w:r>
      <w:proofErr w:type="gramEnd"/>
      <w:r w:rsidRPr="00027481">
        <w:rPr>
          <w:rFonts w:ascii="Times New Roman" w:hAnsi="Times New Roman" w:cs="Times New Roman"/>
          <w:color w:val="000000"/>
          <w:sz w:val="28"/>
          <w:szCs w:val="28"/>
          <w:lang w:eastAsia="ru-RU"/>
        </w:rPr>
        <w:t>ікової ціни банківських металів, розрахованої Національним банком України на дату подання декларантом Декларації.</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Враховуючи викладене, у разі якщо фізична особа має у власності 405 тис. грн та виявила бажання скористатися правом на подання Декларації, то така особа приймає самостійне </w:t>
      </w:r>
      <w:proofErr w:type="gramStart"/>
      <w:r w:rsidRPr="00027481">
        <w:rPr>
          <w:rFonts w:ascii="Times New Roman" w:hAnsi="Times New Roman" w:cs="Times New Roman"/>
          <w:color w:val="000000"/>
          <w:sz w:val="28"/>
          <w:szCs w:val="28"/>
          <w:lang w:eastAsia="ru-RU"/>
        </w:rPr>
        <w:t>р</w:t>
      </w:r>
      <w:proofErr w:type="gramEnd"/>
      <w:r w:rsidRPr="00027481">
        <w:rPr>
          <w:rFonts w:ascii="Times New Roman" w:hAnsi="Times New Roman" w:cs="Times New Roman"/>
          <w:color w:val="000000"/>
          <w:sz w:val="28"/>
          <w:szCs w:val="28"/>
          <w:lang w:eastAsia="ru-RU"/>
        </w:rPr>
        <w:t>ішення щодо суми, яка буде зазначена у вказаній Декларації, а саме повністю уся сума 405 тис. грн або тільки частина цих коштів. При цьому нарахування збору з одноразового (</w:t>
      </w:r>
      <w:proofErr w:type="gramStart"/>
      <w:r w:rsidRPr="00027481">
        <w:rPr>
          <w:rFonts w:ascii="Times New Roman" w:hAnsi="Times New Roman" w:cs="Times New Roman"/>
          <w:color w:val="000000"/>
          <w:sz w:val="28"/>
          <w:szCs w:val="28"/>
          <w:lang w:eastAsia="ru-RU"/>
        </w:rPr>
        <w:t>спец</w:t>
      </w:r>
      <w:proofErr w:type="gramEnd"/>
      <w:r w:rsidRPr="00027481">
        <w:rPr>
          <w:rFonts w:ascii="Times New Roman" w:hAnsi="Times New Roman" w:cs="Times New Roman"/>
          <w:color w:val="000000"/>
          <w:sz w:val="28"/>
          <w:szCs w:val="28"/>
          <w:lang w:eastAsia="ru-RU"/>
        </w:rPr>
        <w:t>іального) добровільного декларування здійснюється у загальному порядку з суми, яка буде вказана у Декларації.</w:t>
      </w:r>
    </w:p>
    <w:p w:rsidR="00C109AD" w:rsidRDefault="00C109AD" w:rsidP="00C109AD">
      <w:pPr>
        <w:pStyle w:val="a3"/>
        <w:jc w:val="both"/>
        <w:rPr>
          <w:rFonts w:ascii="Times New Roman" w:hAnsi="Times New Roman" w:cs="Times New Roman"/>
          <w:color w:val="000000"/>
          <w:sz w:val="28"/>
          <w:szCs w:val="28"/>
          <w:lang w:val="uk-UA" w:eastAsia="ru-RU"/>
        </w:rPr>
      </w:pPr>
      <w:r w:rsidRPr="00027481">
        <w:rPr>
          <w:rFonts w:ascii="Times New Roman" w:hAnsi="Times New Roman" w:cs="Times New Roman"/>
          <w:color w:val="000000"/>
          <w:sz w:val="28"/>
          <w:szCs w:val="28"/>
          <w:lang w:eastAsia="ru-RU"/>
        </w:rPr>
        <w:t xml:space="preserve">Крім того, у разі прийняття </w:t>
      </w:r>
      <w:proofErr w:type="gramStart"/>
      <w:r w:rsidRPr="00027481">
        <w:rPr>
          <w:rFonts w:ascii="Times New Roman" w:hAnsi="Times New Roman" w:cs="Times New Roman"/>
          <w:color w:val="000000"/>
          <w:sz w:val="28"/>
          <w:szCs w:val="28"/>
          <w:lang w:eastAsia="ru-RU"/>
        </w:rPr>
        <w:t>р</w:t>
      </w:r>
      <w:proofErr w:type="gramEnd"/>
      <w:r w:rsidRPr="00027481">
        <w:rPr>
          <w:rFonts w:ascii="Times New Roman" w:hAnsi="Times New Roman" w:cs="Times New Roman"/>
          <w:color w:val="000000"/>
          <w:sz w:val="28"/>
          <w:szCs w:val="28"/>
          <w:lang w:eastAsia="ru-RU"/>
        </w:rPr>
        <w:t>ішення фізичною особою щодо неподання Декларації, то джерела одержання (набуття) коштів вважаються такими, з яких повністю сплачено податки і збори відповідно до податкового законодавства, якщо сумарна вартість їх не перевищує 400 тис. грн станом на дату завершення періоду одноразового (спеціального) добровільного декларування.</w:t>
      </w:r>
    </w:p>
    <w:p w:rsidR="00C109AD" w:rsidRPr="00027481" w:rsidRDefault="00C109AD" w:rsidP="00C109AD">
      <w:pPr>
        <w:pStyle w:val="a3"/>
        <w:jc w:val="both"/>
        <w:rPr>
          <w:rFonts w:ascii="Times New Roman" w:hAnsi="Times New Roman" w:cs="Times New Roman"/>
          <w:color w:val="000000"/>
          <w:sz w:val="28"/>
          <w:szCs w:val="28"/>
          <w:lang w:val="uk-UA" w:eastAsia="ru-RU"/>
        </w:rPr>
      </w:pPr>
    </w:p>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Електронні сервіси ДПС України – це зручно!</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val="uk-UA" w:eastAsia="ru-RU"/>
        </w:rPr>
        <w:t>У</w:t>
      </w:r>
      <w:r w:rsidRPr="00027481">
        <w:rPr>
          <w:rFonts w:ascii="Times New Roman" w:hAnsi="Times New Roman" w:cs="Times New Roman"/>
          <w:color w:val="000000"/>
          <w:sz w:val="28"/>
          <w:szCs w:val="28"/>
          <w:lang w:eastAsia="ru-RU"/>
        </w:rPr>
        <w:t xml:space="preserve"> період дії карантинних заходів рекомендовано надавати перевагу форматам дистанційної комунікації.</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Наразі функціонує та постійно вдосконалюється з боку</w:t>
      </w:r>
      <w:proofErr w:type="gramStart"/>
      <w:r w:rsidRPr="00027481">
        <w:rPr>
          <w:rFonts w:ascii="Times New Roman" w:hAnsi="Times New Roman" w:cs="Times New Roman"/>
          <w:color w:val="000000"/>
          <w:sz w:val="28"/>
          <w:szCs w:val="28"/>
          <w:lang w:eastAsia="ru-RU"/>
        </w:rPr>
        <w:t xml:space="preserve"> Д</w:t>
      </w:r>
      <w:proofErr w:type="gramEnd"/>
      <w:r w:rsidRPr="00027481">
        <w:rPr>
          <w:rFonts w:ascii="Times New Roman" w:hAnsi="Times New Roman" w:cs="Times New Roman"/>
          <w:color w:val="000000"/>
          <w:sz w:val="28"/>
          <w:szCs w:val="28"/>
          <w:lang w:eastAsia="ru-RU"/>
        </w:rPr>
        <w:t>ержавної податкової служби України безкоштовний сервіс «Електронний кабінет» – сервіс, за допомогою якого здійснюється взаємодія органів ДПС та платників податків у режимі реального часу за допомогою персональних комп’ютерів та смарт-пристроїв без встановлення спеціалізованого програмного забезпечення.</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Знайти «Електронний кабінет» можна за адресою </w:t>
      </w:r>
      <w:hyperlink r:id="rId5" w:tgtFrame="_parent" w:history="1">
        <w:r w:rsidRPr="00027481">
          <w:rPr>
            <w:rFonts w:ascii="Times New Roman" w:hAnsi="Times New Roman" w:cs="Times New Roman"/>
            <w:i/>
            <w:iCs/>
            <w:color w:val="2D5CA6"/>
            <w:sz w:val="28"/>
            <w:szCs w:val="28"/>
            <w:bdr w:val="none" w:sz="0" w:space="0" w:color="auto" w:frame="1"/>
            <w:lang w:eastAsia="ru-RU"/>
          </w:rPr>
          <w:t>cabinet.tax.gov.ua</w:t>
        </w:r>
      </w:hyperlink>
      <w:r w:rsidRPr="00027481">
        <w:rPr>
          <w:rFonts w:ascii="Times New Roman" w:hAnsi="Times New Roman" w:cs="Times New Roman"/>
          <w:i/>
          <w:iCs/>
          <w:color w:val="000000"/>
          <w:sz w:val="28"/>
          <w:szCs w:val="28"/>
          <w:bdr w:val="none" w:sz="0" w:space="0" w:color="auto" w:frame="1"/>
          <w:lang w:eastAsia="ru-RU"/>
        </w:rPr>
        <w:t>,</w:t>
      </w:r>
      <w:r w:rsidRPr="00027481">
        <w:rPr>
          <w:rFonts w:ascii="Times New Roman" w:hAnsi="Times New Roman" w:cs="Times New Roman"/>
          <w:color w:val="000000"/>
          <w:sz w:val="28"/>
          <w:szCs w:val="28"/>
          <w:lang w:eastAsia="ru-RU"/>
        </w:rPr>
        <w:t> а також на офіційному вебпорталі ДПС України або за допомогою Е-порталу «Дія».</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Вхід до особистого кабінету здійснюється платником при наявності кваліфікованого електронного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ідпису (КЕП), який можна отримати у будь-якого кваліфікованого надавача електронних довірчих послуг (КНЕДП).</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Наразі безкоштовно кваліфіковану електронну довірчу послугу можна отримати звернувшись, зокрема до Інформаційно-довідкового департаменту</w:t>
      </w:r>
      <w:proofErr w:type="gramStart"/>
      <w:r w:rsidRPr="00027481">
        <w:rPr>
          <w:rFonts w:ascii="Times New Roman" w:hAnsi="Times New Roman" w:cs="Times New Roman"/>
          <w:color w:val="000000"/>
          <w:sz w:val="28"/>
          <w:szCs w:val="28"/>
          <w:lang w:eastAsia="ru-RU"/>
        </w:rPr>
        <w:t xml:space="preserve"> Д</w:t>
      </w:r>
      <w:proofErr w:type="gramEnd"/>
      <w:r w:rsidRPr="00027481">
        <w:rPr>
          <w:rFonts w:ascii="Times New Roman" w:hAnsi="Times New Roman" w:cs="Times New Roman"/>
          <w:color w:val="000000"/>
          <w:sz w:val="28"/>
          <w:szCs w:val="28"/>
          <w:lang w:eastAsia="ru-RU"/>
        </w:rPr>
        <w:t>ержавної податкової служби.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u w:val="single"/>
          <w:bdr w:val="none" w:sz="0" w:space="0" w:color="auto" w:frame="1"/>
          <w:lang w:eastAsia="ru-RU"/>
        </w:rPr>
        <w:t>Можливості сервісу «Електронний кабінет» (ЕК)</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У відкритій частині ЕК (за умови доступу без використання кваліфікованого електронного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ідпису) надає можливість перегляду наступних режимів: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Новини ДПС;</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Бланки звітності;</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Календар;</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Податкова карта України;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Контакти ЦОП;</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Інструкція користувача;</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Інформація загальнодоступних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ів, зокрема:</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xml:space="preserve"> взяття на </w:t>
      </w:r>
      <w:proofErr w:type="gramStart"/>
      <w:r w:rsidRPr="00027481">
        <w:rPr>
          <w:rFonts w:ascii="Times New Roman" w:hAnsi="Times New Roman" w:cs="Times New Roman"/>
          <w:i/>
          <w:iCs/>
          <w:color w:val="000000"/>
          <w:sz w:val="28"/>
          <w:szCs w:val="28"/>
          <w:bdr w:val="none" w:sz="0" w:space="0" w:color="auto" w:frame="1"/>
          <w:lang w:eastAsia="ru-RU"/>
        </w:rPr>
        <w:t>обл</w:t>
      </w:r>
      <w:proofErr w:type="gramEnd"/>
      <w:r w:rsidRPr="00027481">
        <w:rPr>
          <w:rFonts w:ascii="Times New Roman" w:hAnsi="Times New Roman" w:cs="Times New Roman"/>
          <w:i/>
          <w:iCs/>
          <w:color w:val="000000"/>
          <w:sz w:val="28"/>
          <w:szCs w:val="28"/>
          <w:bdr w:val="none" w:sz="0" w:space="0" w:color="auto" w:frame="1"/>
          <w:lang w:eastAsia="ru-RU"/>
        </w:rPr>
        <w:t>ік платників податків;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платників ПДВ;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платників акцизного податку;</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платників єдиного податку;</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неприбуткових установ;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lastRenderedPageBreak/>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страхувальників;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i/>
          <w:iCs/>
          <w:color w:val="000000"/>
          <w:sz w:val="28"/>
          <w:szCs w:val="28"/>
          <w:bdr w:val="none" w:sz="0" w:space="0" w:color="auto" w:frame="1"/>
          <w:lang w:eastAsia="ru-RU"/>
        </w:rPr>
        <w:t> реє</w:t>
      </w:r>
      <w:proofErr w:type="gramStart"/>
      <w:r w:rsidRPr="00027481">
        <w:rPr>
          <w:rFonts w:ascii="Times New Roman" w:hAnsi="Times New Roman" w:cs="Times New Roman"/>
          <w:i/>
          <w:iCs/>
          <w:color w:val="000000"/>
          <w:sz w:val="28"/>
          <w:szCs w:val="28"/>
          <w:bdr w:val="none" w:sz="0" w:space="0" w:color="auto" w:frame="1"/>
          <w:lang w:eastAsia="ru-RU"/>
        </w:rPr>
        <w:t>стр</w:t>
      </w:r>
      <w:proofErr w:type="gramEnd"/>
      <w:r w:rsidRPr="00027481">
        <w:rPr>
          <w:rFonts w:ascii="Times New Roman" w:hAnsi="Times New Roman" w:cs="Times New Roman"/>
          <w:i/>
          <w:iCs/>
          <w:color w:val="000000"/>
          <w:sz w:val="28"/>
          <w:szCs w:val="28"/>
          <w:bdr w:val="none" w:sz="0" w:space="0" w:color="auto" w:frame="1"/>
          <w:lang w:eastAsia="ru-RU"/>
        </w:rPr>
        <w:t xml:space="preserve"> платників, які використовують єдиний рахунок.</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Користуючись сервісами «Електронного кабінету», авторизовані платники (доступ з використанням кваліфікованого електронного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ідпису) у приватній частині ЕК мають можливість дистанційної роботи в режимі он-лайн, зокрема щодо:</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 </w:t>
      </w:r>
      <w:proofErr w:type="gramStart"/>
      <w:r w:rsidRPr="00027481">
        <w:rPr>
          <w:rFonts w:ascii="Times New Roman" w:hAnsi="Times New Roman" w:cs="Times New Roman"/>
          <w:color w:val="000000"/>
          <w:sz w:val="28"/>
          <w:szCs w:val="28"/>
          <w:lang w:eastAsia="ru-RU"/>
        </w:rPr>
        <w:t>обл</w:t>
      </w:r>
      <w:proofErr w:type="gramEnd"/>
      <w:r w:rsidRPr="00027481">
        <w:rPr>
          <w:rFonts w:ascii="Times New Roman" w:hAnsi="Times New Roman" w:cs="Times New Roman"/>
          <w:color w:val="000000"/>
          <w:sz w:val="28"/>
          <w:szCs w:val="28"/>
          <w:lang w:eastAsia="ru-RU"/>
        </w:rPr>
        <w:t>ікових даних платника;</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надання податкових декларацій до територіальних органів ДПС в електронному вигляді, перегляд поданої звітності;</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реєстрації податкових накладних в ЄРПН, отримання інформації на запити,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 xml:space="preserve"> транзакцій;</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реєстрації акцизних накладних в СЕА РП,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 xml:space="preserve"> операцій обсягів пального, реєстр сум акцизного податку, реєстр транзакцій;</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програмного РРО;</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 </w:t>
      </w:r>
      <w:proofErr w:type="gramStart"/>
      <w:r w:rsidRPr="00027481">
        <w:rPr>
          <w:rFonts w:ascii="Times New Roman" w:hAnsi="Times New Roman" w:cs="Times New Roman"/>
          <w:color w:val="000000"/>
          <w:sz w:val="28"/>
          <w:szCs w:val="28"/>
          <w:lang w:eastAsia="ru-RU"/>
        </w:rPr>
        <w:t>перев</w:t>
      </w:r>
      <w:proofErr w:type="gramEnd"/>
      <w:r w:rsidRPr="00027481">
        <w:rPr>
          <w:rFonts w:ascii="Times New Roman" w:hAnsi="Times New Roman" w:cs="Times New Roman"/>
          <w:color w:val="000000"/>
          <w:sz w:val="28"/>
          <w:szCs w:val="28"/>
          <w:lang w:eastAsia="ru-RU"/>
        </w:rPr>
        <w:t>ірки стану розрахунків з бюджетом;</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здійснення сплати податкі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 xml:space="preserve"> та зборів;</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листування з органами ДПС;</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допомоги.</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u w:val="single"/>
          <w:bdr w:val="none" w:sz="0" w:space="0" w:color="auto" w:frame="1"/>
          <w:lang w:eastAsia="ru-RU"/>
        </w:rPr>
        <w:t>Режим Е-кабінет громадян</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Нагадуємо, що доступ до Е-кабінету для громадян (одразу за умови проходження електронної ідентифікації, без необхідності укладення Договору) мають: фізичні особи (громадяни) та посадові (уповноважені) особи державних органів, органів місцевого самоврядування, інших органів,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ідприємств та організацій.</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На сьогодні для фізичних осіб в «Електронному кабінеті» об’єднано сервіси для громадян </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 xml:space="preserve"> окремий Е-кабінет, що надає такі можливості:</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доступ до реєстраційних даних та даних про об’єкти оподаткування (рухоме та нерухоме майно, відомості про які надходять до ДПС з відповідних реє</w:t>
      </w:r>
      <w:proofErr w:type="gramStart"/>
      <w:r w:rsidRPr="00027481">
        <w:rPr>
          <w:rFonts w:ascii="Times New Roman" w:hAnsi="Times New Roman" w:cs="Times New Roman"/>
          <w:color w:val="000000"/>
          <w:sz w:val="28"/>
          <w:szCs w:val="28"/>
          <w:lang w:eastAsia="ru-RU"/>
        </w:rPr>
        <w:t>стр</w:t>
      </w:r>
      <w:proofErr w:type="gramEnd"/>
      <w:r w:rsidRPr="00027481">
        <w:rPr>
          <w:rFonts w:ascii="Times New Roman" w:hAnsi="Times New Roman" w:cs="Times New Roman"/>
          <w:color w:val="000000"/>
          <w:sz w:val="28"/>
          <w:szCs w:val="28"/>
          <w:lang w:eastAsia="ru-RU"/>
        </w:rPr>
        <w:t>ів інших державних органів);</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 доступ до сформованих податкових повідомлень-рішень щодо сум нарахованих податкових зобов’язань з податку на нерухоме майно, відмінне від земельної ділянки, транспортного податку та плати за землю;</w:t>
      </w:r>
      <w:proofErr w:type="gramEnd"/>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 подання декларації про майновий стан і доходи (скориставшись сервісом «Автозаповнення Декларації </w:t>
      </w:r>
      <w:proofErr w:type="gramStart"/>
      <w:r w:rsidRPr="00027481">
        <w:rPr>
          <w:rFonts w:ascii="Times New Roman" w:hAnsi="Times New Roman" w:cs="Times New Roman"/>
          <w:color w:val="000000"/>
          <w:sz w:val="28"/>
          <w:szCs w:val="28"/>
          <w:lang w:eastAsia="ru-RU"/>
        </w:rPr>
        <w:t>на</w:t>
      </w:r>
      <w:proofErr w:type="gramEnd"/>
      <w:r w:rsidRPr="00027481">
        <w:rPr>
          <w:rFonts w:ascii="Times New Roman" w:hAnsi="Times New Roman" w:cs="Times New Roman"/>
          <w:color w:val="000000"/>
          <w:sz w:val="28"/>
          <w:szCs w:val="28"/>
          <w:lang w:eastAsia="ru-RU"/>
        </w:rPr>
        <w:t xml:space="preserve"> основі даних ДПС»);</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отримання відомостей про суми виплачених доходів та утриманих податків з Державного реєстру фізичних осіб – платників податкі</w:t>
      </w:r>
      <w:proofErr w:type="gramStart"/>
      <w:r w:rsidRPr="00027481">
        <w:rPr>
          <w:rFonts w:ascii="Times New Roman" w:hAnsi="Times New Roman" w:cs="Times New Roman"/>
          <w:color w:val="000000"/>
          <w:sz w:val="28"/>
          <w:szCs w:val="28"/>
          <w:lang w:eastAsia="ru-RU"/>
        </w:rPr>
        <w:t>в</w:t>
      </w:r>
      <w:proofErr w:type="gramEnd"/>
      <w:r w:rsidRPr="00027481">
        <w:rPr>
          <w:rFonts w:ascii="Times New Roman" w:hAnsi="Times New Roman" w:cs="Times New Roman"/>
          <w:color w:val="000000"/>
          <w:sz w:val="28"/>
          <w:szCs w:val="28"/>
          <w:lang w:eastAsia="ru-RU"/>
        </w:rPr>
        <w:t>.</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Крім того, через режим «Стан розрахунків з бюджетом» фізичні особи можуть сплатити податки, збори, платежі, обравши на вибі</w:t>
      </w:r>
      <w:proofErr w:type="gramStart"/>
      <w:r w:rsidRPr="00027481">
        <w:rPr>
          <w:rFonts w:ascii="Times New Roman" w:hAnsi="Times New Roman" w:cs="Times New Roman"/>
          <w:color w:val="000000"/>
          <w:sz w:val="28"/>
          <w:szCs w:val="28"/>
          <w:lang w:eastAsia="ru-RU"/>
        </w:rPr>
        <w:t>р</w:t>
      </w:r>
      <w:proofErr w:type="gramEnd"/>
      <w:r w:rsidRPr="00027481">
        <w:rPr>
          <w:rFonts w:ascii="Times New Roman" w:hAnsi="Times New Roman" w:cs="Times New Roman"/>
          <w:color w:val="000000"/>
          <w:sz w:val="28"/>
          <w:szCs w:val="28"/>
          <w:lang w:eastAsia="ru-RU"/>
        </w:rPr>
        <w:t xml:space="preserve"> одну з платіжних систем.</w:t>
      </w:r>
    </w:p>
    <w:p w:rsidR="00C109AD" w:rsidRPr="00F417E6" w:rsidRDefault="00C109AD" w:rsidP="00C109AD">
      <w:pPr>
        <w:shd w:val="clear" w:color="auto" w:fill="FFFFFF"/>
        <w:spacing w:after="0" w:line="240" w:lineRule="auto"/>
        <w:jc w:val="both"/>
        <w:textAlignment w:val="baseline"/>
        <w:rPr>
          <w:rFonts w:ascii="Arial" w:hAnsi="Arial" w:cs="Arial"/>
          <w:color w:val="000000"/>
          <w:sz w:val="27"/>
          <w:szCs w:val="27"/>
          <w:lang w:eastAsia="ru-RU"/>
        </w:rPr>
      </w:pPr>
    </w:p>
    <w:p w:rsidR="00C109AD" w:rsidRPr="00027481" w:rsidRDefault="00C109AD" w:rsidP="00C109AD">
      <w:pPr>
        <w:pStyle w:val="a3"/>
        <w:jc w:val="center"/>
        <w:rPr>
          <w:rFonts w:ascii="Times New Roman" w:hAnsi="Times New Roman" w:cs="Times New Roman"/>
          <w:b/>
          <w:sz w:val="28"/>
          <w:szCs w:val="28"/>
        </w:rPr>
      </w:pPr>
      <w:r w:rsidRPr="00027481">
        <w:rPr>
          <w:rFonts w:ascii="Times New Roman" w:hAnsi="Times New Roman" w:cs="Times New Roman"/>
          <w:b/>
          <w:sz w:val="28"/>
          <w:szCs w:val="28"/>
        </w:rPr>
        <w:t>Одноразове (спеціальне) доброві</w:t>
      </w:r>
      <w:proofErr w:type="gramStart"/>
      <w:r w:rsidRPr="00027481">
        <w:rPr>
          <w:rFonts w:ascii="Times New Roman" w:hAnsi="Times New Roman" w:cs="Times New Roman"/>
          <w:b/>
          <w:sz w:val="28"/>
          <w:szCs w:val="28"/>
        </w:rPr>
        <w:t>льне</w:t>
      </w:r>
      <w:proofErr w:type="gramEnd"/>
      <w:r w:rsidRPr="00027481">
        <w:rPr>
          <w:rFonts w:ascii="Times New Roman" w:hAnsi="Times New Roman" w:cs="Times New Roman"/>
          <w:b/>
          <w:sz w:val="28"/>
          <w:szCs w:val="28"/>
        </w:rPr>
        <w:t xml:space="preserve"> декларування: наслідки неподання декларації</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Одноразове (спеціальне) декларування, передбачене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ідрозд. 94 розд. ХХ ПКУ, є добровільним.</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 xml:space="preserve">Разом із тим, якщо особа, яка має право на одноразове (спеціальне) декларування не скористується ним (тобто не подасть декларацію), така особа буде вважатися такою, що повідомила контролюючий орган про те, що станом </w:t>
      </w:r>
      <w:r w:rsidRPr="00027481">
        <w:rPr>
          <w:rFonts w:ascii="Times New Roman" w:hAnsi="Times New Roman" w:cs="Times New Roman"/>
          <w:color w:val="000000"/>
          <w:sz w:val="28"/>
          <w:szCs w:val="28"/>
          <w:lang w:eastAsia="ru-RU"/>
        </w:rPr>
        <w:lastRenderedPageBreak/>
        <w:t>на 31 серпня 2022 року (дату завершення періоду проведення одноразового (спеціального) добровільного декларування):</w:t>
      </w:r>
      <w:proofErr w:type="gramEnd"/>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 у власності такої фізичної особи відсутні активи, одержані (набуті) за рахунок доходів, з яких не сплачено або сплачено не в повному обсязі податки і збори відповідно до податкового законодавства на момент нарахування (отримання) </w:t>
      </w:r>
      <w:proofErr w:type="gramStart"/>
      <w:r w:rsidRPr="00027481">
        <w:rPr>
          <w:rFonts w:ascii="Times New Roman" w:hAnsi="Times New Roman" w:cs="Times New Roman"/>
          <w:color w:val="000000"/>
          <w:sz w:val="28"/>
          <w:szCs w:val="28"/>
          <w:lang w:eastAsia="ru-RU"/>
        </w:rPr>
        <w:t>таких</w:t>
      </w:r>
      <w:proofErr w:type="gramEnd"/>
      <w:r w:rsidRPr="00027481">
        <w:rPr>
          <w:rFonts w:ascii="Times New Roman" w:hAnsi="Times New Roman" w:cs="Times New Roman"/>
          <w:color w:val="000000"/>
          <w:sz w:val="28"/>
          <w:szCs w:val="28"/>
          <w:lang w:eastAsia="ru-RU"/>
        </w:rPr>
        <w:t xml:space="preserve"> доходів, та/або</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lang w:eastAsia="ru-RU"/>
        </w:rPr>
        <w:t>- про те, що склад та обсяг таких активів (тобто активів, одержаних (набутих) за рахунок доходів, з яких не сплачено або сплачено не в повному обсязі податки</w:t>
      </w:r>
      <w:proofErr w:type="gramEnd"/>
      <w:r w:rsidRPr="00027481">
        <w:rPr>
          <w:rFonts w:ascii="Times New Roman" w:hAnsi="Times New Roman" w:cs="Times New Roman"/>
          <w:color w:val="000000"/>
          <w:sz w:val="28"/>
          <w:szCs w:val="28"/>
          <w:lang w:eastAsia="ru-RU"/>
        </w:rPr>
        <w:t xml:space="preserve"> і збори відповідно до податкового законодавства на момент нарахування (отримання) таких доходів) у власності такої фізичної особи перебуває в межах, визначених абз. п'ятим п. 3 </w:t>
      </w:r>
      <w:proofErr w:type="gramStart"/>
      <w:r w:rsidRPr="00027481">
        <w:rPr>
          <w:rFonts w:ascii="Times New Roman" w:hAnsi="Times New Roman" w:cs="Times New Roman"/>
          <w:color w:val="000000"/>
          <w:sz w:val="28"/>
          <w:szCs w:val="28"/>
          <w:lang w:eastAsia="ru-RU"/>
        </w:rPr>
        <w:t>п</w:t>
      </w:r>
      <w:proofErr w:type="gramEnd"/>
      <w:r w:rsidRPr="00027481">
        <w:rPr>
          <w:rFonts w:ascii="Times New Roman" w:hAnsi="Times New Roman" w:cs="Times New Roman"/>
          <w:color w:val="000000"/>
          <w:sz w:val="28"/>
          <w:szCs w:val="28"/>
          <w:lang w:eastAsia="ru-RU"/>
        </w:rPr>
        <w:t>ідрозд. 94 розділу ХХ ПКУ (тобто активів щодо яких не здійснюється нарахування та сплата збору).</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lang w:eastAsia="ru-RU"/>
        </w:rPr>
        <w:t xml:space="preserve">Детальніше з порядком </w:t>
      </w:r>
      <w:proofErr w:type="gramStart"/>
      <w:r w:rsidRPr="00027481">
        <w:rPr>
          <w:rFonts w:ascii="Times New Roman" w:hAnsi="Times New Roman" w:cs="Times New Roman"/>
          <w:color w:val="000000"/>
          <w:sz w:val="28"/>
          <w:szCs w:val="28"/>
          <w:lang w:eastAsia="ru-RU"/>
        </w:rPr>
        <w:t>одноразового</w:t>
      </w:r>
      <w:proofErr w:type="gramEnd"/>
      <w:r w:rsidRPr="00027481">
        <w:rPr>
          <w:rFonts w:ascii="Times New Roman" w:hAnsi="Times New Roman" w:cs="Times New Roman"/>
          <w:color w:val="000000"/>
          <w:sz w:val="28"/>
          <w:szCs w:val="28"/>
          <w:lang w:eastAsia="ru-RU"/>
        </w:rPr>
        <w:t xml:space="preserve"> (спеціального) добровільного декларування можна ознайомитися за посиланням: </w:t>
      </w:r>
      <w:hyperlink r:id="rId6" w:history="1">
        <w:r w:rsidRPr="00027481">
          <w:rPr>
            <w:rFonts w:ascii="Times New Roman" w:hAnsi="Times New Roman" w:cs="Times New Roman"/>
            <w:color w:val="2D5CA6"/>
            <w:sz w:val="28"/>
            <w:szCs w:val="28"/>
            <w:bdr w:val="none" w:sz="0" w:space="0" w:color="auto" w:frame="1"/>
            <w:lang w:eastAsia="ru-RU"/>
          </w:rPr>
          <w:t>https://tax.gov.ua/baneryi/odnorazove-dobrovilne-deklaruvannya.</w:t>
        </w:r>
      </w:hyperlink>
    </w:p>
    <w:p w:rsidR="00C109AD" w:rsidRPr="00F417E6" w:rsidRDefault="00C109AD" w:rsidP="00C109AD">
      <w:pPr>
        <w:shd w:val="clear" w:color="auto" w:fill="FFFFFF"/>
        <w:spacing w:after="450" w:line="240" w:lineRule="auto"/>
        <w:jc w:val="both"/>
        <w:textAlignment w:val="baseline"/>
        <w:rPr>
          <w:rFonts w:ascii="Arial" w:hAnsi="Arial" w:cs="Arial"/>
          <w:color w:val="000000"/>
          <w:sz w:val="27"/>
          <w:szCs w:val="27"/>
          <w:lang w:eastAsia="ru-RU"/>
        </w:rPr>
      </w:pPr>
    </w:p>
    <w:p w:rsidR="00C109AD" w:rsidRPr="00027481" w:rsidRDefault="00C109AD" w:rsidP="00C109AD">
      <w:pPr>
        <w:pStyle w:val="a3"/>
        <w:jc w:val="center"/>
        <w:rPr>
          <w:rFonts w:ascii="Times New Roman" w:hAnsi="Times New Roman" w:cs="Times New Roman"/>
          <w:b/>
          <w:kern w:val="36"/>
          <w:sz w:val="28"/>
          <w:szCs w:val="28"/>
          <w:lang w:eastAsia="ru-RU"/>
        </w:rPr>
      </w:pPr>
      <w:r w:rsidRPr="00027481">
        <w:rPr>
          <w:rFonts w:ascii="Times New Roman" w:hAnsi="Times New Roman" w:cs="Times New Roman"/>
          <w:b/>
          <w:kern w:val="36"/>
          <w:sz w:val="28"/>
          <w:szCs w:val="28"/>
          <w:lang w:eastAsia="ru-RU"/>
        </w:rPr>
        <w:t xml:space="preserve">Уряд схвалив зміни до Податкового кодексу України в частині встановлення місячної звітності зі сплати єдиного внеску і податку </w:t>
      </w:r>
      <w:proofErr w:type="gramStart"/>
      <w:r w:rsidRPr="00027481">
        <w:rPr>
          <w:rFonts w:ascii="Times New Roman" w:hAnsi="Times New Roman" w:cs="Times New Roman"/>
          <w:b/>
          <w:kern w:val="36"/>
          <w:sz w:val="28"/>
          <w:szCs w:val="28"/>
          <w:lang w:eastAsia="ru-RU"/>
        </w:rPr>
        <w:t>на доходи</w:t>
      </w:r>
      <w:proofErr w:type="gramEnd"/>
      <w:r w:rsidRPr="00027481">
        <w:rPr>
          <w:rFonts w:ascii="Times New Roman" w:hAnsi="Times New Roman" w:cs="Times New Roman"/>
          <w:b/>
          <w:kern w:val="36"/>
          <w:sz w:val="28"/>
          <w:szCs w:val="28"/>
          <w:lang w:eastAsia="ru-RU"/>
        </w:rPr>
        <w:t xml:space="preserve"> фізичних осіб</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bdr w:val="none" w:sz="0" w:space="0" w:color="auto" w:frame="1"/>
          <w:lang w:eastAsia="ru-RU"/>
        </w:rPr>
        <w:t>Кабінет Міні</w:t>
      </w:r>
      <w:proofErr w:type="gramStart"/>
      <w:r w:rsidRPr="00027481">
        <w:rPr>
          <w:rFonts w:ascii="Times New Roman" w:hAnsi="Times New Roman" w:cs="Times New Roman"/>
          <w:color w:val="000000"/>
          <w:sz w:val="28"/>
          <w:szCs w:val="28"/>
          <w:bdr w:val="none" w:sz="0" w:space="0" w:color="auto" w:frame="1"/>
          <w:lang w:eastAsia="ru-RU"/>
        </w:rPr>
        <w:t>стр</w:t>
      </w:r>
      <w:proofErr w:type="gramEnd"/>
      <w:r w:rsidRPr="00027481">
        <w:rPr>
          <w:rFonts w:ascii="Times New Roman" w:hAnsi="Times New Roman" w:cs="Times New Roman"/>
          <w:color w:val="000000"/>
          <w:sz w:val="28"/>
          <w:szCs w:val="28"/>
          <w:bdr w:val="none" w:sz="0" w:space="0" w:color="auto" w:frame="1"/>
          <w:lang w:eastAsia="ru-RU"/>
        </w:rPr>
        <w:t>ів України сьогодні схвалив проект Закону України ,,Про внесення змін до Податкового кодексу України щодо подання єдиної звітності з єдиного внеску на загальнообов’язкове державне соціальне страхування і податку на доходи фізичних осіб”.</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bdr w:val="none" w:sz="0" w:space="0" w:color="auto" w:frame="1"/>
          <w:lang w:eastAsia="ru-RU"/>
        </w:rPr>
        <w:t xml:space="preserve">Зокрема, запропоновано внести зміни до Податкового кодексу України в частині встановлення місячної звітності зі сплати єдиного внеску і податку </w:t>
      </w:r>
      <w:proofErr w:type="gramStart"/>
      <w:r w:rsidRPr="00027481">
        <w:rPr>
          <w:rFonts w:ascii="Times New Roman" w:hAnsi="Times New Roman" w:cs="Times New Roman"/>
          <w:color w:val="000000"/>
          <w:sz w:val="28"/>
          <w:szCs w:val="28"/>
          <w:bdr w:val="none" w:sz="0" w:space="0" w:color="auto" w:frame="1"/>
          <w:lang w:eastAsia="ru-RU"/>
        </w:rPr>
        <w:t>на доходи</w:t>
      </w:r>
      <w:proofErr w:type="gramEnd"/>
      <w:r w:rsidRPr="00027481">
        <w:rPr>
          <w:rFonts w:ascii="Times New Roman" w:hAnsi="Times New Roman" w:cs="Times New Roman"/>
          <w:color w:val="000000"/>
          <w:sz w:val="28"/>
          <w:szCs w:val="28"/>
          <w:bdr w:val="none" w:sz="0" w:space="0" w:color="auto" w:frame="1"/>
          <w:lang w:eastAsia="ru-RU"/>
        </w:rPr>
        <w:t xml:space="preserve"> фізичних осіб.</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bdr w:val="none" w:sz="0" w:space="0" w:color="auto" w:frame="1"/>
          <w:lang w:eastAsia="ru-RU"/>
        </w:rPr>
        <w:t xml:space="preserve">Проект Закону спрямований на вирішення проблеми своєчасності обчислення страхового стажу, призначення та отримання пенсійних та інших виплат за </w:t>
      </w:r>
      <w:proofErr w:type="gramStart"/>
      <w:r w:rsidRPr="00027481">
        <w:rPr>
          <w:rFonts w:ascii="Times New Roman" w:hAnsi="Times New Roman" w:cs="Times New Roman"/>
          <w:color w:val="000000"/>
          <w:sz w:val="28"/>
          <w:szCs w:val="28"/>
          <w:bdr w:val="none" w:sz="0" w:space="0" w:color="auto" w:frame="1"/>
          <w:lang w:eastAsia="ru-RU"/>
        </w:rPr>
        <w:t>соц</w:t>
      </w:r>
      <w:proofErr w:type="gramEnd"/>
      <w:r w:rsidRPr="00027481">
        <w:rPr>
          <w:rFonts w:ascii="Times New Roman" w:hAnsi="Times New Roman" w:cs="Times New Roman"/>
          <w:color w:val="000000"/>
          <w:sz w:val="28"/>
          <w:szCs w:val="28"/>
          <w:bdr w:val="none" w:sz="0" w:space="0" w:color="auto" w:frame="1"/>
          <w:lang w:eastAsia="ru-RU"/>
        </w:rPr>
        <w:t>іальним страхуванням.</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bdr w:val="none" w:sz="0" w:space="0" w:color="auto" w:frame="1"/>
          <w:lang w:eastAsia="ru-RU"/>
        </w:rPr>
        <w:t>Довідково</w:t>
      </w:r>
    </w:p>
    <w:p w:rsidR="00C109AD" w:rsidRPr="00027481" w:rsidRDefault="00C109AD" w:rsidP="00C109AD">
      <w:pPr>
        <w:pStyle w:val="a3"/>
        <w:jc w:val="both"/>
        <w:rPr>
          <w:rFonts w:ascii="Times New Roman" w:hAnsi="Times New Roman" w:cs="Times New Roman"/>
          <w:color w:val="000000"/>
          <w:sz w:val="28"/>
          <w:szCs w:val="28"/>
          <w:lang w:eastAsia="ru-RU"/>
        </w:rPr>
      </w:pPr>
      <w:proofErr w:type="gramStart"/>
      <w:r w:rsidRPr="00027481">
        <w:rPr>
          <w:rFonts w:ascii="Times New Roman" w:hAnsi="Times New Roman" w:cs="Times New Roman"/>
          <w:color w:val="000000"/>
          <w:sz w:val="28"/>
          <w:szCs w:val="28"/>
          <w:bdr w:val="none" w:sz="0" w:space="0" w:color="auto" w:frame="1"/>
          <w:lang w:eastAsia="ru-RU"/>
        </w:rPr>
        <w:t>З</w:t>
      </w:r>
      <w:proofErr w:type="gramEnd"/>
      <w:r w:rsidRPr="00027481">
        <w:rPr>
          <w:rFonts w:ascii="Times New Roman" w:hAnsi="Times New Roman" w:cs="Times New Roman"/>
          <w:color w:val="000000"/>
          <w:sz w:val="28"/>
          <w:szCs w:val="28"/>
          <w:bdr w:val="none" w:sz="0" w:space="0" w:color="auto" w:frame="1"/>
          <w:lang w:eastAsia="ru-RU"/>
        </w:rPr>
        <w:t xml:space="preserve"> 1 січня 2021 року відповідно до внесених змін до Податкового кодексу України та Закону України „Про збір та облік єдиного внеску на загальнообов’язкове державне соціальне страхування” для платників єдиного внеску запроваджено подання звітності про нарахування єдиного внеску у складі звітності з податку на доходи фізичних осіб, яка відповідно до вимог Податкового кодексу України подається протягом 40 календарних днів </w:t>
      </w:r>
      <w:proofErr w:type="gramStart"/>
      <w:r w:rsidRPr="00027481">
        <w:rPr>
          <w:rFonts w:ascii="Times New Roman" w:hAnsi="Times New Roman" w:cs="Times New Roman"/>
          <w:color w:val="000000"/>
          <w:sz w:val="28"/>
          <w:szCs w:val="28"/>
          <w:bdr w:val="none" w:sz="0" w:space="0" w:color="auto" w:frame="1"/>
          <w:lang w:eastAsia="ru-RU"/>
        </w:rPr>
        <w:t>п</w:t>
      </w:r>
      <w:proofErr w:type="gramEnd"/>
      <w:r w:rsidRPr="00027481">
        <w:rPr>
          <w:rFonts w:ascii="Times New Roman" w:hAnsi="Times New Roman" w:cs="Times New Roman"/>
          <w:color w:val="000000"/>
          <w:sz w:val="28"/>
          <w:szCs w:val="28"/>
          <w:bdr w:val="none" w:sz="0" w:space="0" w:color="auto" w:frame="1"/>
          <w:lang w:eastAsia="ru-RU"/>
        </w:rPr>
        <w:t>ісля закінчення звітного кварталу, до 2021 року звітним періодом для платників єдиного внеску був календарний місяць.</w:t>
      </w:r>
    </w:p>
    <w:p w:rsidR="00C109AD" w:rsidRPr="00027481" w:rsidRDefault="00C109AD" w:rsidP="00C109AD">
      <w:pPr>
        <w:pStyle w:val="a3"/>
        <w:jc w:val="both"/>
        <w:rPr>
          <w:rFonts w:ascii="Times New Roman" w:hAnsi="Times New Roman" w:cs="Times New Roman"/>
          <w:color w:val="000000"/>
          <w:sz w:val="28"/>
          <w:szCs w:val="28"/>
          <w:lang w:eastAsia="ru-RU"/>
        </w:rPr>
      </w:pPr>
      <w:r w:rsidRPr="00027481">
        <w:rPr>
          <w:rFonts w:ascii="Times New Roman" w:hAnsi="Times New Roman" w:cs="Times New Roman"/>
          <w:color w:val="000000"/>
          <w:sz w:val="28"/>
          <w:szCs w:val="28"/>
          <w:bdr w:val="none" w:sz="0" w:space="0" w:color="auto" w:frame="1"/>
          <w:lang w:eastAsia="ru-RU"/>
        </w:rPr>
        <w:t xml:space="preserve">Разом з тим практика реалізації у поточному році зазначених змін показала, що встановлення квартального звітного періоду спричиняє відтермінування надходження до реєстру застрахованих осіб Державного реєстру загальнообов’язкового державного </w:t>
      </w:r>
      <w:proofErr w:type="gramStart"/>
      <w:r w:rsidRPr="00027481">
        <w:rPr>
          <w:rFonts w:ascii="Times New Roman" w:hAnsi="Times New Roman" w:cs="Times New Roman"/>
          <w:color w:val="000000"/>
          <w:sz w:val="28"/>
          <w:szCs w:val="28"/>
          <w:bdr w:val="none" w:sz="0" w:space="0" w:color="auto" w:frame="1"/>
          <w:lang w:eastAsia="ru-RU"/>
        </w:rPr>
        <w:t>соц</w:t>
      </w:r>
      <w:proofErr w:type="gramEnd"/>
      <w:r w:rsidRPr="00027481">
        <w:rPr>
          <w:rFonts w:ascii="Times New Roman" w:hAnsi="Times New Roman" w:cs="Times New Roman"/>
          <w:color w:val="000000"/>
          <w:sz w:val="28"/>
          <w:szCs w:val="28"/>
          <w:bdr w:val="none" w:sz="0" w:space="0" w:color="auto" w:frame="1"/>
          <w:lang w:eastAsia="ru-RU"/>
        </w:rPr>
        <w:t>іального страхування інформації, що використовується для призначення пенсійних та інших виплат за соціальним страхуванням.</w:t>
      </w:r>
    </w:p>
    <w:p w:rsidR="00C109AD" w:rsidRDefault="00C109AD" w:rsidP="00C109AD">
      <w:pPr>
        <w:pStyle w:val="a3"/>
        <w:jc w:val="both"/>
        <w:rPr>
          <w:rFonts w:ascii="Times New Roman" w:hAnsi="Times New Roman" w:cs="Times New Roman"/>
          <w:color w:val="000000"/>
          <w:sz w:val="28"/>
          <w:szCs w:val="28"/>
          <w:bdr w:val="none" w:sz="0" w:space="0" w:color="auto" w:frame="1"/>
          <w:lang w:val="uk-UA" w:eastAsia="ru-RU"/>
        </w:rPr>
      </w:pPr>
      <w:r w:rsidRPr="00027481">
        <w:rPr>
          <w:rFonts w:ascii="Times New Roman" w:hAnsi="Times New Roman" w:cs="Times New Roman"/>
          <w:color w:val="000000"/>
          <w:sz w:val="28"/>
          <w:szCs w:val="28"/>
          <w:bdr w:val="none" w:sz="0" w:space="0" w:color="auto" w:frame="1"/>
          <w:lang w:eastAsia="ru-RU"/>
        </w:rPr>
        <w:t>За матеріалами КМУ </w:t>
      </w:r>
      <w:hyperlink r:id="rId7" w:tgtFrame="_blank" w:history="1">
        <w:r w:rsidRPr="00027481">
          <w:rPr>
            <w:rFonts w:ascii="Times New Roman" w:hAnsi="Times New Roman" w:cs="Times New Roman"/>
            <w:color w:val="2D5CA6"/>
            <w:sz w:val="28"/>
            <w:szCs w:val="28"/>
            <w:bdr w:val="none" w:sz="0" w:space="0" w:color="auto" w:frame="1"/>
            <w:lang w:eastAsia="ru-RU"/>
          </w:rPr>
          <w:t>https://bit.ly/2Wr2hvx</w:t>
        </w:r>
      </w:hyperlink>
    </w:p>
    <w:p w:rsidR="00C109AD" w:rsidRPr="00027481" w:rsidRDefault="00C109AD" w:rsidP="00C109AD">
      <w:pPr>
        <w:pStyle w:val="a3"/>
        <w:jc w:val="both"/>
        <w:rPr>
          <w:rFonts w:ascii="Times New Roman" w:hAnsi="Times New Roman" w:cs="Times New Roman"/>
          <w:color w:val="000000"/>
          <w:sz w:val="28"/>
          <w:szCs w:val="28"/>
          <w:lang w:val="uk-UA" w:eastAsia="ru-RU"/>
        </w:rPr>
      </w:pPr>
    </w:p>
    <w:p w:rsidR="00DC067C" w:rsidRPr="00C109AD" w:rsidRDefault="00DC067C">
      <w:pPr>
        <w:rPr>
          <w:lang w:val="uk-UA"/>
        </w:rPr>
      </w:pPr>
    </w:p>
    <w:sectPr w:rsidR="00DC067C" w:rsidRPr="00C109AD" w:rsidSect="00DC067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C109AD"/>
    <w:rsid w:val="00C109AD"/>
    <w:rsid w:val="00DC06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9AD"/>
    <w:rPr>
      <w:rFonts w:eastAsia="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09AD"/>
    <w:pPr>
      <w:spacing w:after="0" w:line="240" w:lineRule="auto"/>
    </w:pPr>
    <w:rPr>
      <w:rFonts w:eastAsia="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t.ly/2Wr2hv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x.gov.ua/baneryi/odnorazove-dobrovilne-deklaruvannya." TargetMode="External"/><Relationship Id="rId5" Type="http://schemas.openxmlformats.org/officeDocument/2006/relationships/hyperlink" Target="https://cabinet.sfs.gov.ua/" TargetMode="External"/><Relationship Id="rId4" Type="http://schemas.openxmlformats.org/officeDocument/2006/relationships/hyperlink" Target="https://t.me/infoTAXbo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12654</Words>
  <Characters>7214</Characters>
  <Application>Microsoft Office Word</Application>
  <DocSecurity>0</DocSecurity>
  <Lines>60</Lines>
  <Paragraphs>39</Paragraphs>
  <ScaleCrop>false</ScaleCrop>
  <Company>Microsoft</Company>
  <LinksUpToDate>false</LinksUpToDate>
  <CharactersWithSpaces>19829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D01-KUPCHAK</dc:creator>
  <cp:lastModifiedBy>D01-KUPCHAK</cp:lastModifiedBy>
  <cp:revision>1</cp:revision>
  <dcterms:created xsi:type="dcterms:W3CDTF">2021-10-06T11:30:00Z</dcterms:created>
  <dcterms:modified xsi:type="dcterms:W3CDTF">2021-10-06T11:43:00Z</dcterms:modified>
</cp:coreProperties>
</file>