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AD" w:rsidRPr="007002E6" w:rsidRDefault="006310AD" w:rsidP="00401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E6">
        <w:rPr>
          <w:rFonts w:ascii="Times New Roman" w:hAnsi="Times New Roman" w:cs="Times New Roman"/>
          <w:b/>
          <w:sz w:val="28"/>
          <w:szCs w:val="28"/>
        </w:rPr>
        <w:t>ІНФОРМАЦІЙНА ДОВІДКА</w:t>
      </w:r>
    </w:p>
    <w:p w:rsidR="0041147C" w:rsidRPr="007002E6" w:rsidRDefault="0041147C" w:rsidP="00411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набрання чинності </w:t>
      </w:r>
      <w:r w:rsidRPr="007002E6">
        <w:rPr>
          <w:rFonts w:ascii="Times New Roman" w:hAnsi="Times New Roman" w:cs="Times New Roman"/>
          <w:b/>
          <w:sz w:val="28"/>
          <w:szCs w:val="28"/>
        </w:rPr>
        <w:t>законодавч</w:t>
      </w:r>
      <w:r>
        <w:rPr>
          <w:rFonts w:ascii="Times New Roman" w:hAnsi="Times New Roman" w:cs="Times New Roman"/>
          <w:b/>
          <w:sz w:val="28"/>
          <w:szCs w:val="28"/>
        </w:rPr>
        <w:t>ими та іншими</w:t>
      </w:r>
      <w:r w:rsidRPr="007002E6">
        <w:rPr>
          <w:rFonts w:ascii="Times New Roman" w:hAnsi="Times New Roman" w:cs="Times New Roman"/>
          <w:b/>
          <w:sz w:val="28"/>
          <w:szCs w:val="28"/>
        </w:rPr>
        <w:t xml:space="preserve"> нормативно-правов</w:t>
      </w:r>
      <w:r>
        <w:rPr>
          <w:rFonts w:ascii="Times New Roman" w:hAnsi="Times New Roman" w:cs="Times New Roman"/>
          <w:b/>
          <w:sz w:val="28"/>
          <w:szCs w:val="28"/>
        </w:rPr>
        <w:t>ими</w:t>
      </w:r>
      <w:r w:rsidRPr="007002E6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ами </w:t>
      </w:r>
      <w:r w:rsidRPr="007002E6">
        <w:rPr>
          <w:rFonts w:ascii="Times New Roman" w:hAnsi="Times New Roman" w:cs="Times New Roman"/>
          <w:b/>
          <w:sz w:val="28"/>
          <w:szCs w:val="28"/>
        </w:rPr>
        <w:t>України</w:t>
      </w:r>
      <w:r>
        <w:rPr>
          <w:rFonts w:ascii="Times New Roman" w:hAnsi="Times New Roman" w:cs="Times New Roman"/>
          <w:b/>
          <w:sz w:val="28"/>
          <w:szCs w:val="28"/>
        </w:rPr>
        <w:t>, їх офіційне оприлюднення</w:t>
      </w:r>
    </w:p>
    <w:p w:rsidR="00475D59" w:rsidRDefault="00475D59" w:rsidP="006D7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F5A99" w:rsidRDefault="001F5A99" w:rsidP="00607B9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</w:pPr>
    </w:p>
    <w:p w:rsidR="00607B97" w:rsidRPr="00BD58AA" w:rsidRDefault="00607B97" w:rsidP="00607B9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</w:pPr>
      <w:r w:rsidRPr="00BD58AA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ВЕРХОВНА РАДА УКРАЇНИ</w:t>
      </w:r>
    </w:p>
    <w:p w:rsidR="00607B97" w:rsidRPr="00CD4A01" w:rsidRDefault="00607B97" w:rsidP="008E074F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</w:pPr>
      <w:r w:rsidRPr="00CD4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CD4A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03</w:t>
      </w:r>
      <w:r w:rsidRPr="00CD4A0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.03.2022 Верховною Радою України прийнято </w:t>
      </w:r>
      <w:r w:rsidRPr="00CD4A0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Закон України </w:t>
      </w:r>
      <w:r w:rsidRPr="00CD4A01">
        <w:rPr>
          <w:rFonts w:ascii="Times New Roman" w:hAnsi="Times New Roman" w:cs="Times New Roman"/>
          <w:b/>
          <w:bCs/>
          <w:sz w:val="27"/>
          <w:szCs w:val="27"/>
        </w:rPr>
        <w:t>«Про внесення змін до деяких законодавчих актів України щодо забезпечення відповідальності осіб, які здійснювали колабораційну діяльність</w:t>
      </w:r>
      <w:r w:rsidRPr="00CD4A01">
        <w:rPr>
          <w:rFonts w:ascii="Times New Roman" w:hAnsi="Times New Roman" w:cs="Times New Roman"/>
          <w:b/>
          <w:sz w:val="27"/>
          <w:szCs w:val="27"/>
        </w:rPr>
        <w:t>»</w:t>
      </w:r>
      <w:r w:rsidR="00A1243D" w:rsidRPr="00A124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D4A01">
        <w:rPr>
          <w:rFonts w:ascii="Times New Roman" w:hAnsi="Times New Roman" w:cs="Times New Roman"/>
          <w:sz w:val="27"/>
          <w:szCs w:val="27"/>
          <w:shd w:val="clear" w:color="auto" w:fill="FFFFFF"/>
        </w:rPr>
        <w:t>№ 2107</w:t>
      </w:r>
      <w:r w:rsidRPr="00CD4A01">
        <w:rPr>
          <w:rFonts w:ascii="Times New Roman" w:hAnsi="Times New Roman" w:cs="Times New Roman"/>
          <w:sz w:val="27"/>
          <w:szCs w:val="27"/>
        </w:rPr>
        <w:t>-IX</w:t>
      </w:r>
      <w:r w:rsidRPr="00CD4A01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>(набирає чинності з дня його опублікування. «Голос України» від 15.03.2022 № 56).</w:t>
      </w:r>
    </w:p>
    <w:p w:rsidR="000C4730" w:rsidRPr="00CD4A01" w:rsidRDefault="000C4730" w:rsidP="008E074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</w:pPr>
      <w:r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Законом внесено зміни до Виборчого кодексу України, законів України “Про свободу совісті та релігійні організації”, “Про державну таємницю”, “Про професійні спілки, їх права та гарантії діяльності”, “Про участь громадян в охороні громадського порядку і державного кордону”, “Про політичні партії в Україні”, “Про військовий обов’язок і військову службу”, “Про громадські об’єднання”, “Про благодійну діяльність та благодійні організації”, як</w:t>
      </w:r>
      <w:r w:rsidR="008E074F"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ими</w:t>
      </w:r>
      <w:r w:rsidR="00D3730B"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регламент</w:t>
      </w:r>
      <w:r w:rsidR="008E074F"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овано</w:t>
      </w:r>
      <w:r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 xml:space="preserve"> питання обмеження доступу до виконання функцій, пов’язаних із проведенням виборів усіх рівнів, доступу до військової служби та допуску до державної таємниці для осіб, які співпрацювали з державою</w:t>
      </w:r>
      <w:r w:rsidR="00D3730B"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-</w:t>
      </w:r>
      <w:r w:rsidRPr="00CD4A0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агресором, її окупаційною адміністрацією та/або її збройними чи воєнізованими формуваннями, а також ліквідації політичних партій, громадських, благодійних чи релігійних організацій, професійних спілок та громадських формувань з охорони громадського порядку та державного кордону, уповноважені особи яких здійснювали таку співпрацю.</w:t>
      </w:r>
    </w:p>
    <w:p w:rsidR="000C4730" w:rsidRPr="00CD4A01" w:rsidRDefault="00CD4A01" w:rsidP="008E074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Відтак,</w:t>
      </w:r>
      <w:r w:rsidR="008E074F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унесеними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змін</w:t>
      </w:r>
      <w:r w:rsidR="008E074F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ами до Виборчого кодексу України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позбав</w:t>
      </w:r>
      <w:r w:rsidR="008E074F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лено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можливості осіб, які мають судимість за вчинення кримінального правопорушення, передбаченого статтею 111-1 К</w:t>
      </w:r>
      <w:r w:rsidR="008E074F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України, бути членами виборчих комісій, офіційними спостерігачами,  уповноваженими представниками кандидата на пост Президента України у Центральній виборчій комісії, довіреними особами кандидата на пост Президента України, представниками партії у Центральній виборчій комісії, кандидатами на місцевих виборах, представниками організації партії у виборчій комісії, уповноваженими особами організації партії, довіреними особами кандидатів.</w:t>
      </w:r>
    </w:p>
    <w:p w:rsidR="000C4730" w:rsidRPr="00CD4A01" w:rsidRDefault="008E074F" w:rsidP="008E074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З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мін</w:t>
      </w: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ами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 Закону України “Про військовий обов’язок і військову службу”</w:t>
      </w: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визначено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неможливість комплектування Збройних Сил України та інших військових формувань особами, які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мають судимість за вчинення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кримінального правопорушення проти основ національної безпеки України, передбаченого статтею 111-1 К</w:t>
      </w: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 України, </w:t>
      </w:r>
      <w:r w:rsid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змін</w:t>
      </w: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ами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до Закону України “Про державну таємницю” передбач</w:t>
      </w: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ено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підстави для відмови в допуску до державної таємниці для таких осіб.</w:t>
      </w:r>
    </w:p>
    <w:p w:rsidR="000C4730" w:rsidRDefault="008E074F" w:rsidP="000C4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4A01">
        <w:rPr>
          <w:rFonts w:ascii="Times New Roman" w:eastAsia="Times New Roman" w:hAnsi="Times New Roman" w:cs="Times New Roman"/>
          <w:sz w:val="27"/>
          <w:szCs w:val="27"/>
          <w:lang w:eastAsia="uk-UA"/>
        </w:rPr>
        <w:t>Також</w:t>
      </w:r>
      <w:r w:rsidR="00860DA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визначено як підставу для заборони (припинення) діяльності </w:t>
      </w:r>
      <w:r w:rsidR="000C4730" w:rsidRPr="00CD4A0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юридичних </w:t>
      </w:r>
      <w:r w:rsidR="000C4730" w:rsidRPr="008E0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осіб, якщо їхніх уповноважених осіб було засуджено за вчинення </w:t>
      </w:r>
      <w:r w:rsidR="000C4730" w:rsidRPr="008E074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кримінального правопорушення проти основ національної безпеки України, передбаченого статтею 111-1 К</w:t>
      </w:r>
      <w:r w:rsidRPr="008E074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</w:t>
      </w:r>
      <w:r w:rsidR="000C4730" w:rsidRPr="008E074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України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(зокрема</w:t>
      </w:r>
      <w:r w:rsidR="00532CF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профспілок, їх об'єднань,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релігійних організацій, 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громадських формувань з охорони громадського порядку і державного кордону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політичних партій</w:t>
      </w:r>
      <w:r w:rsidR="00860DA4">
        <w:t xml:space="preserve">, 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громадськ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их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об'єднан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ь, 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благодійн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их</w:t>
      </w:r>
      <w:r w:rsidR="00860DA4" w:rsidRP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організаці</w:t>
      </w:r>
      <w:r w:rsidR="00860DA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й). </w:t>
      </w:r>
    </w:p>
    <w:p w:rsidR="00860DA4" w:rsidRDefault="00860DA4" w:rsidP="007C190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190F" w:rsidRPr="008E074F" w:rsidRDefault="007C190F" w:rsidP="007C190F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E07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Pr="008E074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03</w:t>
      </w:r>
      <w:r w:rsidRPr="008E07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.03.2022 Верховною Радою України прийнято </w:t>
      </w:r>
      <w:r w:rsidRPr="008E074F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Закон України </w:t>
      </w:r>
      <w:r w:rsidRPr="008E074F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7C190F">
        <w:rPr>
          <w:rFonts w:ascii="Times New Roman" w:hAnsi="Times New Roman" w:cs="Times New Roman"/>
          <w:b/>
          <w:bCs/>
          <w:sz w:val="27"/>
          <w:szCs w:val="27"/>
        </w:rPr>
        <w:t>Про внесення змін до деяких законодавчих актів України щодо встановлення кримінальної відповідальності за колабораційну діяльність</w:t>
      </w:r>
      <w:r w:rsidRPr="008E074F">
        <w:rPr>
          <w:rFonts w:ascii="Times New Roman" w:hAnsi="Times New Roman" w:cs="Times New Roman"/>
          <w:b/>
          <w:sz w:val="27"/>
          <w:szCs w:val="27"/>
        </w:rPr>
        <w:t>»</w:t>
      </w:r>
      <w:r w:rsidRPr="008E074F">
        <w:rPr>
          <w:rFonts w:ascii="Times New Roman" w:hAnsi="Times New Roman" w:cs="Times New Roman"/>
          <w:sz w:val="27"/>
          <w:szCs w:val="27"/>
          <w:shd w:val="clear" w:color="auto" w:fill="FFFFFF"/>
        </w:rPr>
        <w:t>№ 210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Pr="008E074F">
        <w:rPr>
          <w:rFonts w:ascii="Times New Roman" w:hAnsi="Times New Roman" w:cs="Times New Roman"/>
          <w:sz w:val="27"/>
          <w:szCs w:val="27"/>
        </w:rPr>
        <w:t>-IX</w:t>
      </w:r>
      <w:r w:rsidRPr="008E074F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(</w:t>
      </w:r>
      <w:r w:rsidRPr="008E074F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набирає чинності </w:t>
      </w:r>
      <w:r w:rsidRPr="008E074F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 xml:space="preserve">з дня його опублікування. </w:t>
      </w:r>
      <w:r w:rsidRPr="008E074F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«Голос України» </w:t>
      </w:r>
      <w:r w:rsidRPr="008E074F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від 15.03.2022 № 56).</w:t>
      </w:r>
    </w:p>
    <w:p w:rsidR="007C190F" w:rsidRDefault="007C190F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</w:pP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Колабораціонізм як явище підриває національну безпеку України та становить безпосередню загрозу державному суверенітету, територіальній цілісності, конституційно</w:t>
      </w:r>
      <w:r w:rsidR="00EB5015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му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ладу та іншим національним інтересам України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.</w:t>
      </w:r>
    </w:p>
    <w:p w:rsidR="007C190F" w:rsidRDefault="007C190F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З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азначеним законом 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внесено зміни до </w:t>
      </w:r>
      <w:r w:rsidRPr="00D47CF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 xml:space="preserve">Кримінального кодексу України 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шляхом доповнення 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новою статтею 111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vertAlign w:val="superscript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«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Колабораційна діяльність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»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 якою передбач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ено</w:t>
      </w:r>
      <w:r w:rsidRPr="007C190F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кримінальну відповідальність за співпрацю з державою-агресором, її окупаційною адміністрацією та/або її збройними чи воєнізованими формуваннями у військовій, політичній, інформаційній, адміністративній, господарській та трудовій сферах.</w:t>
      </w:r>
      <w:r w:rsidR="0062451B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Зокрема кримінально караною є співпраця, яка виражається у</w:t>
      </w:r>
      <w:r w:rsidR="00C0253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вчиненні</w:t>
      </w:r>
      <w:r w:rsidR="0062451B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:</w:t>
      </w:r>
    </w:p>
    <w:p w:rsidR="0062451B" w:rsidRDefault="0062451B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>публічно</w:t>
      </w:r>
      <w:r w:rsidR="00C0253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го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запереченн</w:t>
      </w:r>
      <w:r w:rsidR="00C0253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я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громадянином України збройної агресії проти України, тимчасової окупації частини території України, а також публічн</w:t>
      </w:r>
      <w:r w:rsidR="00C0253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их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заклик</w:t>
      </w:r>
      <w:r w:rsidR="00C0253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ів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до підтримки, співпраці з державою-агресором, її збройними формуваннями та/або окупаційною адміністрацією та до невизнання поширення державного суверенітету України на тимчасово окуповані території України;</w:t>
      </w:r>
    </w:p>
    <w:p w:rsidR="003E72AA" w:rsidRDefault="00C02538" w:rsidP="00C0253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 xml:space="preserve">добровільного зайняття посад у незаконних органах влади, </w:t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судових та правоохоронних органах</w:t>
      </w:r>
      <w:r w:rsidR="002A25A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створених на тимчасово окупованій території</w:t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, </w:t>
      </w:r>
    </w:p>
    <w:p w:rsidR="00A87D32" w:rsidRDefault="003E72AA" w:rsidP="00C0253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добровільна участь в незаконних збройних чи воєнізованих формуваннях чи надання таким формуванням допомоги у веденні бойових дій проти Збройних Сил України та інших військових формувань, утворених відповідно до законів України, добровольчих формувань</w:t>
      </w:r>
      <w:r w:rsidR="00023A06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 що утворились для захисту незалежності, суверенітету та територіальної цілісності України</w:t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;</w:t>
      </w:r>
    </w:p>
    <w:p w:rsidR="00C02538" w:rsidRDefault="00A87D32" w:rsidP="00C0253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>участі в організації та проведенні незаконних виборів та/або референдумів на тимчасово окупованій території, або публічних закликів до їх проведення;</w:t>
      </w:r>
    </w:p>
    <w:p w:rsidR="00C02538" w:rsidRDefault="00C02538" w:rsidP="00C0253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>пропагандиу закладах освіти з метою сприйняття збройної агресії проти України та утвердження тимчасової окупації частини території України, а також впровадження стандартів освіти держави-агресора у закладах освіти;</w:t>
      </w:r>
    </w:p>
    <w:p w:rsidR="0062451B" w:rsidRDefault="0062451B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>передач</w:t>
      </w:r>
      <w:r w:rsidR="00A87D3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матеріальних ресурсів</w:t>
      </w:r>
      <w:r w:rsidR="00A87D3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незаконним збройним чи воєнізованим формуванням, та/або провадженні господарської діяльності у взаємодії з державою-агресором, її незаконно створеними органами влади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;</w:t>
      </w:r>
    </w:p>
    <w:p w:rsidR="0062451B" w:rsidRPr="007C190F" w:rsidRDefault="0062451B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ab/>
        <w:t>організаці</w:t>
      </w:r>
      <w:r w:rsidR="00A87D3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ї та проведення 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політичних заходів</w:t>
      </w:r>
      <w:r w:rsidR="00A87D3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 інформаційної діяльності, спрямованих на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підтримку </w:t>
      </w:r>
      <w:r w:rsidR="00A87D3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держави-агресора</w:t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, її окупаційної адміністрації чи збройних формувань, та/або на уникнення нею відповідальності за </w:t>
      </w:r>
      <w:r w:rsidR="00FC61D7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lastRenderedPageBreak/>
        <w:t>збройну агресію проти України (за відсутності ознак державної зради), активна участь у таких заходах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.</w:t>
      </w:r>
    </w:p>
    <w:p w:rsidR="000B42EC" w:rsidRDefault="007C190F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Внесеними змінами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доповнено частину першу 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статт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і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55 КК України 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абзацом п’ятим, яким 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встановлено строк покарання у вигляді позбавлення права обіймати певні посади або займатися певною діяльністю 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(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як основного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 так і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додаткового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)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за вчинення кримінального правопорушення, передбаченого статтею 111</w:t>
      </w:r>
      <w:r w:rsidR="002773A8"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-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1 К</w:t>
      </w:r>
      <w:r w:rsidR="002773A8"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 У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країни </w:t>
      </w:r>
      <w:r w:rsidR="000A0E3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від десяти </w:t>
      </w:r>
      <w:r w:rsidR="002773A8"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до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п'ятнадцят</w:t>
      </w:r>
      <w:r w:rsidR="002773A8"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и</w:t>
      </w:r>
      <w:r w:rsidRPr="002773A8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років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.</w:t>
      </w:r>
    </w:p>
    <w:p w:rsidR="007C190F" w:rsidRPr="000B42EC" w:rsidRDefault="00EA1AAF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Нормами нової редакції пункту 3 частини першої статті 96</w:t>
      </w:r>
      <w:r w:rsidRPr="00EA1AAF">
        <w:rPr>
          <w:rFonts w:ascii="Times New Roman" w:eastAsia="Times New Roman" w:hAnsi="Times New Roman" w:cs="Times New Roman"/>
          <w:bCs/>
          <w:color w:val="333333"/>
          <w:sz w:val="27"/>
          <w:szCs w:val="27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КК України в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изначено як підставу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застосування до юридичн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ої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ос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о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б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и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заходів кримінально-правового характеру </w:t>
      </w:r>
      <w:r w:rsid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– 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вчинення ї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ї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уповноважен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ою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особ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ою від імені юридичної особи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кримінального правопорушення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, передбаченого статтею 111</w:t>
      </w:r>
      <w:r w:rsidRPr="00EA1AAF">
        <w:rPr>
          <w:rFonts w:ascii="Times New Roman" w:eastAsia="Times New Roman" w:hAnsi="Times New Roman" w:cs="Times New Roman"/>
          <w:bCs/>
          <w:color w:val="333333"/>
          <w:sz w:val="27"/>
          <w:szCs w:val="27"/>
          <w:vertAlign w:val="superscript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КК України</w:t>
      </w:r>
      <w:r w:rsidR="007C190F" w:rsidRPr="000B42EC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.</w:t>
      </w:r>
      <w:r w:rsid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Також до юридичних осіб може бути застосований захід кримінально-правового характеру у виді ліквідації у разі вчинення її уповноваженою особою вказаного кримінального правопорушення (доповнення у статті 96</w:t>
      </w:r>
      <w:r w:rsidR="009107CD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vertAlign w:val="superscript"/>
          <w:lang w:eastAsia="uk-UA"/>
        </w:rPr>
        <w:t>9</w:t>
      </w:r>
      <w:r w:rsid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КК України).</w:t>
      </w:r>
    </w:p>
    <w:p w:rsidR="007C190F" w:rsidRPr="009107CD" w:rsidRDefault="008D0B2F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Вн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ес</w:t>
      </w:r>
      <w:r w:rsidR="009107CD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ено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зміни до </w:t>
      </w:r>
      <w:r w:rsidR="007C190F" w:rsidRPr="00D47CF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>Кримінального процесуального кодексу</w:t>
      </w:r>
      <w:r w:rsidR="009107CD" w:rsidRPr="00D47CF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 xml:space="preserve"> України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, якими </w:t>
      </w:r>
      <w:r w:rsidR="009107CD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визначено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підслідність щодо розслідування кримінального правопорушення, передбаченого статтею 111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vertAlign w:val="superscript"/>
          <w:lang w:eastAsia="uk-UA"/>
        </w:rPr>
        <w:t>1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</w:t>
      </w:r>
      <w:r w:rsidR="009107CD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К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України, за слідчими органів безпеки, а також пошир</w:t>
      </w:r>
      <w:r w:rsidR="009107CD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ено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на таке кримінальне правопорушення можливість спеціального досудового розслідування (in</w:t>
      </w:r>
      <w:r w:rsidR="003B1242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 xml:space="preserve"> </w:t>
      </w:r>
      <w:r w:rsidR="007C190F" w:rsidRPr="009107CD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uk-UA"/>
        </w:rPr>
        <w:t>absentia).</w:t>
      </w:r>
    </w:p>
    <w:p w:rsidR="0062451B" w:rsidRDefault="0062451B" w:rsidP="005B28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28AC" w:rsidRPr="008E074F" w:rsidRDefault="005B28AC" w:rsidP="005B28A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</w:pPr>
      <w:r w:rsidRPr="001F5A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</w:t>
      </w:r>
      <w:r w:rsidRPr="001F5A9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03</w:t>
      </w:r>
      <w:r w:rsidRPr="001F5A9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.03.2022 Верховною Радою України прийнято </w:t>
      </w:r>
      <w:r w:rsidRPr="001F5A9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Закон України </w:t>
      </w:r>
      <w:r w:rsidRPr="001F5A99">
        <w:rPr>
          <w:rFonts w:ascii="Times New Roman" w:hAnsi="Times New Roman" w:cs="Times New Roman"/>
          <w:b/>
          <w:bCs/>
          <w:sz w:val="27"/>
          <w:szCs w:val="27"/>
        </w:rPr>
        <w:t>«Про внесення змін до деяких закон</w:t>
      </w:r>
      <w:r w:rsidR="009A455A" w:rsidRPr="001F5A99">
        <w:rPr>
          <w:rFonts w:ascii="Times New Roman" w:hAnsi="Times New Roman" w:cs="Times New Roman"/>
          <w:b/>
          <w:bCs/>
          <w:sz w:val="27"/>
          <w:szCs w:val="27"/>
        </w:rPr>
        <w:t>ів</w:t>
      </w:r>
      <w:r w:rsidRPr="001F5A99">
        <w:rPr>
          <w:rFonts w:ascii="Times New Roman" w:hAnsi="Times New Roman" w:cs="Times New Roman"/>
          <w:b/>
          <w:bCs/>
          <w:sz w:val="27"/>
          <w:szCs w:val="27"/>
        </w:rPr>
        <w:t xml:space="preserve"> України щодо </w:t>
      </w:r>
      <w:r w:rsidR="009A455A" w:rsidRPr="001F5A99">
        <w:rPr>
          <w:rFonts w:ascii="Times New Roman" w:hAnsi="Times New Roman" w:cs="Times New Roman"/>
          <w:b/>
          <w:bCs/>
          <w:sz w:val="27"/>
          <w:szCs w:val="27"/>
        </w:rPr>
        <w:t>заборони виготовлення та поширення інформаційної продукції, спрямованої на пропагування дій держави-агресора</w:t>
      </w:r>
      <w:r w:rsidRPr="001F5A99">
        <w:rPr>
          <w:rFonts w:ascii="Times New Roman" w:hAnsi="Times New Roman" w:cs="Times New Roman"/>
          <w:b/>
          <w:sz w:val="27"/>
          <w:szCs w:val="27"/>
        </w:rPr>
        <w:t>»</w:t>
      </w:r>
      <w:r w:rsidRPr="001F5A99">
        <w:rPr>
          <w:rFonts w:ascii="Times New Roman" w:hAnsi="Times New Roman" w:cs="Times New Roman"/>
          <w:sz w:val="27"/>
          <w:szCs w:val="27"/>
          <w:shd w:val="clear" w:color="auto" w:fill="FFFFFF"/>
        </w:rPr>
        <w:t>№ 210</w:t>
      </w:r>
      <w:r w:rsidR="009A455A" w:rsidRPr="001F5A99">
        <w:rPr>
          <w:rFonts w:ascii="Times New Roman" w:hAnsi="Times New Roman" w:cs="Times New Roman"/>
          <w:sz w:val="27"/>
          <w:szCs w:val="27"/>
          <w:shd w:val="clear" w:color="auto" w:fill="FFFFFF"/>
        </w:rPr>
        <w:t>9</w:t>
      </w:r>
      <w:r w:rsidRPr="001F5A99">
        <w:rPr>
          <w:rFonts w:ascii="Times New Roman" w:hAnsi="Times New Roman" w:cs="Times New Roman"/>
          <w:sz w:val="27"/>
          <w:szCs w:val="27"/>
        </w:rPr>
        <w:t>-IX</w:t>
      </w:r>
      <w:r w:rsidRPr="001F5A99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(</w:t>
      </w:r>
      <w:r w:rsidRPr="001F5A99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набирає чинності </w:t>
      </w:r>
      <w:r w:rsidRPr="001F5A99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з дня</w:t>
      </w:r>
      <w:r w:rsidR="009A455A" w:rsidRPr="001F5A99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, наступного за днем</w:t>
      </w:r>
      <w:r w:rsidRPr="001F5A99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 xml:space="preserve"> його опублікування. </w:t>
      </w:r>
      <w:r w:rsidRPr="001F5A99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«Голос України» </w:t>
      </w:r>
      <w:r w:rsidRPr="001F5A99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від 15.03.2022 № 56).</w:t>
      </w:r>
    </w:p>
    <w:p w:rsidR="001F5A99" w:rsidRDefault="009A455A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Закон встановлює заборону на виготовлення та поширення інформаційної продукції, спрямованої на пропагування дій держави-агресора, а також застосування до громадських об’єднань та політичних партій, винних у порушенні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цих заборон, в якості санкцій –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заборони їх діяльності у судовому порядку.</w:t>
      </w:r>
    </w:p>
    <w:p w:rsidR="009A455A" w:rsidRDefault="009A455A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Відповідні зміни 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внесено до законів України «Про друковані засоби масової інформації (пресу) в Україні», «Про телебачення і радіомовлення»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,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«Про політичні партії в Україні», «Про захист суспільної моралі», «Про громадські об’єднання», зокрема</w:t>
      </w:r>
      <w:r w:rsidR="00A055F8"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встановлен</w:t>
      </w:r>
      <w:r w:rsidR="00A055F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о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:</w:t>
      </w:r>
    </w:p>
    <w:p w:rsidR="001F5A99" w:rsidRPr="000F7EED" w:rsidRDefault="009A455A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заборон</w:t>
      </w:r>
      <w:r w:rsidR="001F5A9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у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щодо</w:t>
      </w:r>
      <w:r w:rsidR="003B124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виправдовування, визнання правомірною, заперечення збройної агресії Російської Федерації проти України, у тому числі шляхом представлення збройної агресії Російської Федерації проти України як «внутрішнього конфлікту», «громадянського конфлікту», «громадянської війни», заперечення тимчасової окупації частини території України;глорифікації осіб, які здійснюють збройну агресію </w:t>
      </w:r>
      <w:r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Російської Федерації проти України, представників як збройних формувань Російської Федерації, так і іррегулярних незаконних збройних формувань, озброєних банд та груп найманців, створених, підпорядкованих, керованих та фінансованих Російською Федерацією, а також представників окупаційної адміністрації Російської Федерації, яку складають її </w:t>
      </w:r>
      <w:r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державні органи і структури, функціонально відповідальні за управління тимчасово окупованими територіями України, та представників підконтрольних Російській Федерації самопроголошених органів, які узурпували виконання владних функцій на тимчасово окупованих територіях України, у тому числі шляхом їх визначення як «повстанці», «ополченці», «ввічливі військові люди»;</w:t>
      </w:r>
    </w:p>
    <w:p w:rsidR="001F5A99" w:rsidRDefault="001F5A99" w:rsidP="007C190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>- санкції для політичних партій та громадських об'єднань, дії яких спрямовані на ліквідацію незалежності України, зміну конституційного ладу насильницьким шляхом, порушення суверенітету і територіальної цілісності держави, підрив її безпеки, незаконне захоплення державної влади, пропаганду війни, насильства, розпалювання міжетнічної, расової, релігійної ворожнечі, посягання на права і свободи людини, здоров'я населення, пропаганду комуністичного та/або націонал-соціалістичного (нацистського) тоталітарних режимів та їхньої символіки; порушення рівноправності громадян залежно від їх расової, національної, регіональної належності</w:t>
      </w:r>
      <w:r w:rsidRPr="009A455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, релігійних переконань, інвалідності та за іншими ознаками; поширення відомостей, що містять виправдовування, визнання правомірною, заперечення збройної агресії Російської Федерації проти України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</w:p>
    <w:p w:rsidR="00A91B3C" w:rsidRDefault="00A91B3C" w:rsidP="001F5A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F5A99" w:rsidRPr="008E074F" w:rsidRDefault="001F5A99" w:rsidP="001F5A99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</w:pPr>
      <w:r w:rsidRPr="00B43B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</w:t>
      </w:r>
      <w:r w:rsidRPr="00B43BD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03</w:t>
      </w:r>
      <w:r w:rsidRPr="00B43B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.03.2022 Верховною Радою України прийнято </w:t>
      </w:r>
      <w:r w:rsidRPr="00B43BD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Закон України </w:t>
      </w:r>
      <w:r w:rsidRPr="00B43BDE">
        <w:rPr>
          <w:rFonts w:ascii="Times New Roman" w:hAnsi="Times New Roman" w:cs="Times New Roman"/>
          <w:b/>
          <w:bCs/>
          <w:sz w:val="27"/>
          <w:szCs w:val="27"/>
        </w:rPr>
        <w:t xml:space="preserve">«Про </w:t>
      </w:r>
      <w:r w:rsidR="00B43BDE" w:rsidRPr="00B43BDE">
        <w:rPr>
          <w:rFonts w:ascii="Times New Roman" w:hAnsi="Times New Roman" w:cs="Times New Roman"/>
          <w:b/>
          <w:bCs/>
          <w:sz w:val="27"/>
          <w:szCs w:val="27"/>
        </w:rPr>
        <w:t>внесення змін до деяких законодавчих актів України щодо посилення кримінальної відповідальності за виготовлення та поширення забороненої інформаційної продукції</w:t>
      </w:r>
      <w:r w:rsidRPr="00B43BDE">
        <w:rPr>
          <w:rFonts w:ascii="Times New Roman" w:hAnsi="Times New Roman" w:cs="Times New Roman"/>
          <w:b/>
          <w:sz w:val="27"/>
          <w:szCs w:val="27"/>
        </w:rPr>
        <w:t>»</w:t>
      </w:r>
      <w:r w:rsidRPr="00B43BDE">
        <w:rPr>
          <w:rFonts w:ascii="Times New Roman" w:hAnsi="Times New Roman" w:cs="Times New Roman"/>
          <w:sz w:val="27"/>
          <w:szCs w:val="27"/>
          <w:shd w:val="clear" w:color="auto" w:fill="FFFFFF"/>
        </w:rPr>
        <w:t>№ 21</w:t>
      </w:r>
      <w:r w:rsidR="00B43BDE" w:rsidRPr="00B43BDE">
        <w:rPr>
          <w:rFonts w:ascii="Times New Roman" w:hAnsi="Times New Roman" w:cs="Times New Roman"/>
          <w:sz w:val="27"/>
          <w:szCs w:val="27"/>
          <w:shd w:val="clear" w:color="auto" w:fill="FFFFFF"/>
        </w:rPr>
        <w:t>10</w:t>
      </w:r>
      <w:r w:rsidRPr="00B43BDE">
        <w:rPr>
          <w:rFonts w:ascii="Times New Roman" w:hAnsi="Times New Roman" w:cs="Times New Roman"/>
          <w:sz w:val="27"/>
          <w:szCs w:val="27"/>
        </w:rPr>
        <w:t>-IX</w:t>
      </w:r>
      <w:r w:rsidRPr="00B43BDE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(</w:t>
      </w:r>
      <w:r w:rsidRPr="00B43BDE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набирає чинності </w:t>
      </w:r>
      <w:r w:rsidRPr="00B43BDE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 xml:space="preserve">з дня, наступного за днем його опублікування. </w:t>
      </w:r>
      <w:r w:rsidRPr="00B43BDE">
        <w:rPr>
          <w:rFonts w:ascii="Times New Roman" w:hAnsi="Times New Roman" w:cs="Times New Roman"/>
          <w:bCs/>
          <w:i/>
          <w:sz w:val="27"/>
          <w:szCs w:val="27"/>
          <w:shd w:val="clear" w:color="auto" w:fill="FFFFFF"/>
        </w:rPr>
        <w:t xml:space="preserve">«Голос України» </w:t>
      </w:r>
      <w:r w:rsidRPr="00B43BDE">
        <w:rPr>
          <w:rFonts w:ascii="Times New Roman" w:hAnsi="Times New Roman" w:cs="Times New Roman"/>
          <w:bCs/>
          <w:i/>
          <w:color w:val="000000"/>
          <w:sz w:val="27"/>
          <w:szCs w:val="27"/>
          <w:shd w:val="clear" w:color="auto" w:fill="FFFFFF"/>
        </w:rPr>
        <w:t>від 15.03.2022 № 56).</w:t>
      </w:r>
    </w:p>
    <w:p w:rsidR="00590FB6" w:rsidRPr="00590FB6" w:rsidRDefault="00590FB6" w:rsidP="00590FB6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color w:val="000000"/>
          <w:sz w:val="27"/>
          <w:szCs w:val="27"/>
          <w:lang w:eastAsia="uk-UA"/>
        </w:rPr>
      </w:pP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Закон спрямований на протидію засобам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и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кримінально-правового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характеру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ворожим інформаційним впливам в умовах триваючої війни Російської Федерації з Україною.</w:t>
      </w:r>
    </w:p>
    <w:p w:rsidR="005F5702" w:rsidRDefault="00590FB6" w:rsidP="00590FB6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В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несено зміни до </w:t>
      </w:r>
      <w:r w:rsidRPr="00590FB6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uk-UA"/>
        </w:rPr>
        <w:t>Кримінального кодексу України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, якими посилено кримінальну відповідальність за виготовлення та поширення забороненої інформаційної продукції.</w:t>
      </w:r>
    </w:p>
    <w:p w:rsidR="00590FB6" w:rsidRPr="000F7EED" w:rsidRDefault="007B2C2C" w:rsidP="00590FB6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З</w:t>
      </w:r>
      <w:r w:rsid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мін</w:t>
      </w:r>
      <w:r w:rsidR="005F570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ами у</w:t>
      </w:r>
      <w:r w:rsidR="00B11C0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r w:rsid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статт</w:t>
      </w:r>
      <w:r w:rsidR="005F570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і</w:t>
      </w:r>
      <w:r w:rsid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161 КК України «Порушення </w:t>
      </w:r>
      <w:r w:rsidR="00590FB6"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рівноправності громадян залежно від їх расової, національної, регіональної належності, релігійних переконань, інвалідності та за іншими ознаками</w:t>
      </w:r>
      <w:r w:rsid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», </w:t>
      </w:r>
      <w:r w:rsidR="00590FB6"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встановлено кримінальну відповідальність за порушення рівноправності громадян залежно від їх регіональної належності</w:t>
      </w:r>
      <w:r w:rsid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. Згідно примітки до цієї статті, </w:t>
      </w:r>
      <w:r w:rsidR="00590FB6" w:rsidRPr="005F570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під регіональною належністю слід розуміти належність особи за народженням чи проживанням до регіону </w:t>
      </w:r>
      <w:r w:rsidR="005F570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–</w:t>
      </w:r>
      <w:r w:rsidR="00590FB6" w:rsidRPr="005F570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частини </w:t>
      </w:r>
      <w:r w:rsidR="00590FB6"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території України або території компактного розселення українців за межами території України, </w:t>
      </w:r>
      <w:r w:rsidR="005F5702"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>–</w:t>
      </w:r>
      <w:r w:rsidR="00590FB6"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>що відрізняється від інших територій за низкою історичних, географічних, мовних та інших ознак</w:t>
      </w:r>
      <w:r w:rsidRPr="000F7EED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7B2C2C" w:rsidRPr="00590FB6" w:rsidRDefault="007B2C2C" w:rsidP="007B2C2C">
      <w:pPr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Розділ XIX Кримінального кодексу України доповнено статтею 435</w:t>
      </w: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«Образа честі і гідності військовослужбовця, погроза військовослужбовцю».</w:t>
      </w:r>
      <w:r w:rsidR="00B11C0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</w:t>
      </w:r>
      <w:r w:rsidRPr="000F7EED"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Pr="00590FB6">
        <w:rPr>
          <w:rFonts w:ascii="Times New Roman" w:eastAsia="Times New Roman" w:hAnsi="Times New Roman" w:cs="Times New Roman"/>
          <w:sz w:val="27"/>
          <w:szCs w:val="27"/>
          <w:lang w:eastAsia="uk-UA"/>
        </w:rPr>
        <w:t>риміналіз</w:t>
      </w:r>
      <w:r w:rsidRPr="000F7EED">
        <w:rPr>
          <w:rFonts w:ascii="Times New Roman" w:eastAsia="Times New Roman" w:hAnsi="Times New Roman" w:cs="Times New Roman"/>
          <w:sz w:val="27"/>
          <w:szCs w:val="27"/>
          <w:lang w:eastAsia="uk-UA"/>
        </w:rPr>
        <w:t>овано</w:t>
      </w:r>
      <w:r w:rsidRPr="00590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діяння, пов'язані із: а) образою честі і гідності, погрозою вбивством, насильством або знищенням чи пошкодженням майна військовослужбовцю, який здійснює заходи із забезпечення національної безпеки і оборони, відсічі і стримування збройної агресії Російської Федерації, його </w:t>
      </w:r>
      <w:r w:rsidRPr="00590FB6">
        <w:rPr>
          <w:rFonts w:ascii="Times New Roman" w:eastAsia="Times New Roman" w:hAnsi="Times New Roman" w:cs="Times New Roman"/>
          <w:sz w:val="27"/>
          <w:szCs w:val="27"/>
          <w:lang w:eastAsia="uk-UA"/>
        </w:rPr>
        <w:lastRenderedPageBreak/>
        <w:t>близьким родичам чи членам сім'ї; б) виготовленням та поширенням матеріалів, які містять образу честі і гідності, погрозу вбивством, насильством або знищенням чи пошкодженням майна військовослужбовцю, який здійснює заходи із забезпечення національної безпеки і оборони, відсічі і стримування збройної агресії Російської Федерації, його бл</w:t>
      </w:r>
      <w:r w:rsidRPr="000F7EED">
        <w:rPr>
          <w:rFonts w:ascii="Times New Roman" w:eastAsia="Times New Roman" w:hAnsi="Times New Roman" w:cs="Times New Roman"/>
          <w:sz w:val="27"/>
          <w:szCs w:val="27"/>
          <w:lang w:eastAsia="uk-UA"/>
        </w:rPr>
        <w:t>изьким родичам чи членам сім'ї.</w:t>
      </w:r>
    </w:p>
    <w:p w:rsidR="007B2C2C" w:rsidRPr="00590FB6" w:rsidRDefault="007B2C2C" w:rsidP="000F7EE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Доповн</w:t>
      </w:r>
      <w:r w:rsidR="000F7EED"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еною</w:t>
      </w: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статтею 436</w:t>
      </w:r>
      <w:r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="00B11C0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</w:t>
      </w:r>
      <w:r w:rsidR="000F7EED" w:rsidRPr="000F7EE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Кримінального кодексу України</w:t>
      </w:r>
      <w:r w:rsidR="00342AD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, у якій</w:t>
      </w:r>
      <w:r w:rsidR="00B11C0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</w:t>
      </w:r>
      <w:r w:rsidR="000F7EED">
        <w:rPr>
          <w:rFonts w:ascii="Times New Roman" w:eastAsia="Times New Roman" w:hAnsi="Times New Roman" w:cs="Times New Roman"/>
          <w:sz w:val="27"/>
          <w:szCs w:val="27"/>
          <w:lang w:eastAsia="uk-UA"/>
        </w:rPr>
        <w:t>кваліфіковано</w:t>
      </w:r>
      <w:r w:rsidR="00B11C0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90FB6">
        <w:rPr>
          <w:rFonts w:ascii="Times New Roman" w:eastAsia="Times New Roman" w:hAnsi="Times New Roman" w:cs="Times New Roman"/>
          <w:sz w:val="27"/>
          <w:szCs w:val="27"/>
          <w:lang w:eastAsia="uk-UA"/>
        </w:rPr>
        <w:t>діяння, пов'язані і</w:t>
      </w:r>
      <w:r w:rsidR="000F7EED">
        <w:rPr>
          <w:rFonts w:ascii="Times New Roman" w:eastAsia="Times New Roman" w:hAnsi="Times New Roman" w:cs="Times New Roman"/>
          <w:sz w:val="27"/>
          <w:szCs w:val="27"/>
          <w:lang w:eastAsia="uk-UA"/>
        </w:rPr>
        <w:t>з</w:t>
      </w:r>
      <w:r w:rsidR="00B11C0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90FB6">
        <w:rPr>
          <w:rFonts w:ascii="Times New Roman" w:eastAsia="Times New Roman" w:hAnsi="Times New Roman" w:cs="Times New Roman"/>
          <w:sz w:val="27"/>
          <w:szCs w:val="27"/>
          <w:lang w:eastAsia="uk-UA"/>
        </w:rPr>
        <w:t>виправдовуванням, визнанням правомірною, запереченням збройної агресії Російської Федерації проти України, глорифікацією її учасників.</w:t>
      </w:r>
    </w:p>
    <w:p w:rsidR="00590FB6" w:rsidRPr="00590FB6" w:rsidRDefault="00590FB6" w:rsidP="00590FB6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color w:val="000000"/>
          <w:sz w:val="27"/>
          <w:szCs w:val="27"/>
          <w:lang w:eastAsia="uk-UA"/>
        </w:rPr>
      </w:pP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Зак</w:t>
      </w:r>
      <w:bookmarkStart w:id="0" w:name="_GoBack"/>
      <w:bookmarkEnd w:id="0"/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оном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також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внесено зміни до </w:t>
      </w:r>
      <w:r w:rsidRPr="00590FB6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uk-UA"/>
        </w:rPr>
        <w:t>К</w:t>
      </w:r>
      <w:r w:rsidR="00342ADF" w:rsidRPr="00342ADF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uk-UA"/>
        </w:rPr>
        <w:t>римінального процесуального кодексу</w:t>
      </w:r>
      <w:r w:rsidR="000F7EED" w:rsidRPr="00342ADF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uk-UA"/>
        </w:rPr>
        <w:t xml:space="preserve"> України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та </w:t>
      </w:r>
      <w:r w:rsid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визначено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підслідність досудового розслідування кримінальних порушень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, передбачених </w:t>
      </w:r>
      <w:r w:rsidR="00342AD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ст. 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ст. 435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, 436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="000F7EED" w:rsidRP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КК України </w:t>
      </w:r>
      <w:r w:rsid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за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слідчи</w:t>
      </w:r>
      <w:r w:rsidR="000F7EE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ми</w:t>
      </w:r>
      <w:r w:rsidRPr="00590F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органів безпеки.</w:t>
      </w:r>
    </w:p>
    <w:p w:rsidR="009B3116" w:rsidRPr="00B11C0F" w:rsidRDefault="009A455A" w:rsidP="00B11C0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</w:pPr>
      <w:r w:rsidRPr="00590FB6">
        <w:rPr>
          <w:rFonts w:ascii="Times New Roman" w:hAnsi="Times New Roman" w:cs="Times New Roman"/>
          <w:color w:val="333333"/>
          <w:sz w:val="27"/>
          <w:szCs w:val="27"/>
        </w:rPr>
        <w:br/>
      </w:r>
      <w:r w:rsidR="00B11C0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>Надвірнянська окружна прокуратура</w:t>
      </w:r>
    </w:p>
    <w:p w:rsidR="00C1753B" w:rsidRDefault="00C1753B" w:rsidP="009812F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C1753B" w:rsidSect="00C61084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3D" w:rsidRDefault="0013483D">
      <w:pPr>
        <w:spacing w:after="0" w:line="240" w:lineRule="auto"/>
      </w:pPr>
      <w:r>
        <w:separator/>
      </w:r>
    </w:p>
  </w:endnote>
  <w:endnote w:type="continuationSeparator" w:id="1">
    <w:p w:rsidR="0013483D" w:rsidRDefault="0013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3D" w:rsidRDefault="0013483D">
      <w:pPr>
        <w:spacing w:after="0" w:line="240" w:lineRule="auto"/>
      </w:pPr>
      <w:r>
        <w:separator/>
      </w:r>
    </w:p>
  </w:footnote>
  <w:footnote w:type="continuationSeparator" w:id="1">
    <w:p w:rsidR="0013483D" w:rsidRDefault="0013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571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5B6E" w:rsidRPr="00C61084" w:rsidRDefault="00E07702" w:rsidP="00C6108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22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35B6E" w:rsidRPr="005D22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22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24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22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A85"/>
    <w:multiLevelType w:val="multilevel"/>
    <w:tmpl w:val="166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57959"/>
    <w:multiLevelType w:val="multilevel"/>
    <w:tmpl w:val="419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93418"/>
    <w:multiLevelType w:val="multilevel"/>
    <w:tmpl w:val="8BA2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B2316"/>
    <w:multiLevelType w:val="multilevel"/>
    <w:tmpl w:val="7190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07FAC"/>
    <w:multiLevelType w:val="multilevel"/>
    <w:tmpl w:val="7DBC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15FCA"/>
    <w:multiLevelType w:val="multilevel"/>
    <w:tmpl w:val="3A96E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23ACE"/>
    <w:multiLevelType w:val="multilevel"/>
    <w:tmpl w:val="6A9A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22C89"/>
    <w:multiLevelType w:val="multilevel"/>
    <w:tmpl w:val="834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A6FE6"/>
    <w:multiLevelType w:val="multilevel"/>
    <w:tmpl w:val="336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1155A"/>
    <w:multiLevelType w:val="multilevel"/>
    <w:tmpl w:val="A13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D681F"/>
    <w:multiLevelType w:val="multilevel"/>
    <w:tmpl w:val="520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E6919"/>
    <w:multiLevelType w:val="multilevel"/>
    <w:tmpl w:val="DC90091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05218"/>
    <w:multiLevelType w:val="multilevel"/>
    <w:tmpl w:val="4A4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A5643"/>
    <w:multiLevelType w:val="multilevel"/>
    <w:tmpl w:val="060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63D58"/>
    <w:multiLevelType w:val="multilevel"/>
    <w:tmpl w:val="3AA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F54F8"/>
    <w:multiLevelType w:val="multilevel"/>
    <w:tmpl w:val="CFE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C1660"/>
    <w:multiLevelType w:val="multilevel"/>
    <w:tmpl w:val="0BB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D4A6B"/>
    <w:multiLevelType w:val="multilevel"/>
    <w:tmpl w:val="38D487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1771FD"/>
    <w:multiLevelType w:val="multilevel"/>
    <w:tmpl w:val="A33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0D7C14"/>
    <w:multiLevelType w:val="hybridMultilevel"/>
    <w:tmpl w:val="B5400B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02991"/>
    <w:multiLevelType w:val="multilevel"/>
    <w:tmpl w:val="B406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96147B"/>
    <w:multiLevelType w:val="multilevel"/>
    <w:tmpl w:val="EC3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BC6F09"/>
    <w:multiLevelType w:val="multilevel"/>
    <w:tmpl w:val="D7A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7"/>
  </w:num>
  <w:num w:numId="5">
    <w:abstractNumId w:val="0"/>
  </w:num>
  <w:num w:numId="6">
    <w:abstractNumId w:val="17"/>
  </w:num>
  <w:num w:numId="7">
    <w:abstractNumId w:val="11"/>
  </w:num>
  <w:num w:numId="8">
    <w:abstractNumId w:val="3"/>
  </w:num>
  <w:num w:numId="9">
    <w:abstractNumId w:val="6"/>
  </w:num>
  <w:num w:numId="10">
    <w:abstractNumId w:val="21"/>
  </w:num>
  <w:num w:numId="11">
    <w:abstractNumId w:val="18"/>
  </w:num>
  <w:num w:numId="12">
    <w:abstractNumId w:val="10"/>
  </w:num>
  <w:num w:numId="13">
    <w:abstractNumId w:val="1"/>
  </w:num>
  <w:num w:numId="14">
    <w:abstractNumId w:val="22"/>
  </w:num>
  <w:num w:numId="15">
    <w:abstractNumId w:val="9"/>
  </w:num>
  <w:num w:numId="16">
    <w:abstractNumId w:val="8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AB9"/>
    <w:rsid w:val="00023A06"/>
    <w:rsid w:val="000310C8"/>
    <w:rsid w:val="00035631"/>
    <w:rsid w:val="0004215B"/>
    <w:rsid w:val="000446E9"/>
    <w:rsid w:val="00050DE9"/>
    <w:rsid w:val="00065EDB"/>
    <w:rsid w:val="000677FC"/>
    <w:rsid w:val="00082A19"/>
    <w:rsid w:val="000835DF"/>
    <w:rsid w:val="0008371D"/>
    <w:rsid w:val="000A025F"/>
    <w:rsid w:val="000A0E3C"/>
    <w:rsid w:val="000A5064"/>
    <w:rsid w:val="000B42EC"/>
    <w:rsid w:val="000C4730"/>
    <w:rsid w:val="000F5795"/>
    <w:rsid w:val="000F7EED"/>
    <w:rsid w:val="0013483D"/>
    <w:rsid w:val="00140617"/>
    <w:rsid w:val="00140B39"/>
    <w:rsid w:val="0014158F"/>
    <w:rsid w:val="00146462"/>
    <w:rsid w:val="0015599A"/>
    <w:rsid w:val="001713CF"/>
    <w:rsid w:val="001730A3"/>
    <w:rsid w:val="00175278"/>
    <w:rsid w:val="0019643E"/>
    <w:rsid w:val="001A29C2"/>
    <w:rsid w:val="001A38FD"/>
    <w:rsid w:val="001B05DE"/>
    <w:rsid w:val="001B55AA"/>
    <w:rsid w:val="001D7E7C"/>
    <w:rsid w:val="001F3483"/>
    <w:rsid w:val="001F5A99"/>
    <w:rsid w:val="00203FD3"/>
    <w:rsid w:val="00205459"/>
    <w:rsid w:val="00211684"/>
    <w:rsid w:val="0022715D"/>
    <w:rsid w:val="0023735D"/>
    <w:rsid w:val="0024177C"/>
    <w:rsid w:val="00253C26"/>
    <w:rsid w:val="002600E6"/>
    <w:rsid w:val="00271109"/>
    <w:rsid w:val="00274BFC"/>
    <w:rsid w:val="00276A2D"/>
    <w:rsid w:val="00276B13"/>
    <w:rsid w:val="002773A8"/>
    <w:rsid w:val="00277F1A"/>
    <w:rsid w:val="0028334A"/>
    <w:rsid w:val="00297CC7"/>
    <w:rsid w:val="002A25AC"/>
    <w:rsid w:val="002A26B6"/>
    <w:rsid w:val="002A2BE3"/>
    <w:rsid w:val="002C7418"/>
    <w:rsid w:val="002D0924"/>
    <w:rsid w:val="002D5F31"/>
    <w:rsid w:val="0030315A"/>
    <w:rsid w:val="00307497"/>
    <w:rsid w:val="0032421C"/>
    <w:rsid w:val="0032458F"/>
    <w:rsid w:val="00324D16"/>
    <w:rsid w:val="00331FF1"/>
    <w:rsid w:val="00342ADF"/>
    <w:rsid w:val="00351E9E"/>
    <w:rsid w:val="003541B7"/>
    <w:rsid w:val="00386FEC"/>
    <w:rsid w:val="00397789"/>
    <w:rsid w:val="003A398C"/>
    <w:rsid w:val="003A435E"/>
    <w:rsid w:val="003A6898"/>
    <w:rsid w:val="003B1242"/>
    <w:rsid w:val="003B2956"/>
    <w:rsid w:val="003B4BE3"/>
    <w:rsid w:val="003B6EC1"/>
    <w:rsid w:val="003B74CE"/>
    <w:rsid w:val="003C3655"/>
    <w:rsid w:val="003D38E5"/>
    <w:rsid w:val="003E72AA"/>
    <w:rsid w:val="003F43E0"/>
    <w:rsid w:val="00401C3C"/>
    <w:rsid w:val="00406293"/>
    <w:rsid w:val="0041147C"/>
    <w:rsid w:val="00443953"/>
    <w:rsid w:val="004469CF"/>
    <w:rsid w:val="00450352"/>
    <w:rsid w:val="00473E12"/>
    <w:rsid w:val="00475D59"/>
    <w:rsid w:val="00491C75"/>
    <w:rsid w:val="00495AF6"/>
    <w:rsid w:val="004A44F7"/>
    <w:rsid w:val="004B16F0"/>
    <w:rsid w:val="004C11C9"/>
    <w:rsid w:val="004C1E97"/>
    <w:rsid w:val="004C46DF"/>
    <w:rsid w:val="004C683C"/>
    <w:rsid w:val="004D3AE5"/>
    <w:rsid w:val="004E01CA"/>
    <w:rsid w:val="004F2C0A"/>
    <w:rsid w:val="004F567A"/>
    <w:rsid w:val="004F7B7B"/>
    <w:rsid w:val="00532CF0"/>
    <w:rsid w:val="0054691F"/>
    <w:rsid w:val="00551CE3"/>
    <w:rsid w:val="00554A78"/>
    <w:rsid w:val="00565CE0"/>
    <w:rsid w:val="00576852"/>
    <w:rsid w:val="00577415"/>
    <w:rsid w:val="00586965"/>
    <w:rsid w:val="00590FB6"/>
    <w:rsid w:val="005A174F"/>
    <w:rsid w:val="005A49B5"/>
    <w:rsid w:val="005B0302"/>
    <w:rsid w:val="005B28AC"/>
    <w:rsid w:val="005C2969"/>
    <w:rsid w:val="005C2E8C"/>
    <w:rsid w:val="005D4687"/>
    <w:rsid w:val="005E591A"/>
    <w:rsid w:val="005E6502"/>
    <w:rsid w:val="005F5702"/>
    <w:rsid w:val="005F685E"/>
    <w:rsid w:val="00602E28"/>
    <w:rsid w:val="00607B97"/>
    <w:rsid w:val="00616ED9"/>
    <w:rsid w:val="00622E8C"/>
    <w:rsid w:val="0062451B"/>
    <w:rsid w:val="00626AA0"/>
    <w:rsid w:val="006310AD"/>
    <w:rsid w:val="006372EF"/>
    <w:rsid w:val="00656249"/>
    <w:rsid w:val="006567B6"/>
    <w:rsid w:val="0066040D"/>
    <w:rsid w:val="00662C2D"/>
    <w:rsid w:val="00667F2E"/>
    <w:rsid w:val="00673424"/>
    <w:rsid w:val="00675DDA"/>
    <w:rsid w:val="006A3063"/>
    <w:rsid w:val="006A4CA0"/>
    <w:rsid w:val="006B1C48"/>
    <w:rsid w:val="006B69E2"/>
    <w:rsid w:val="006C20F5"/>
    <w:rsid w:val="006D7441"/>
    <w:rsid w:val="006F6328"/>
    <w:rsid w:val="007002E6"/>
    <w:rsid w:val="00712593"/>
    <w:rsid w:val="00715A3F"/>
    <w:rsid w:val="00726199"/>
    <w:rsid w:val="00745E1B"/>
    <w:rsid w:val="00747EB5"/>
    <w:rsid w:val="007512D4"/>
    <w:rsid w:val="0075488F"/>
    <w:rsid w:val="007639C2"/>
    <w:rsid w:val="0076559B"/>
    <w:rsid w:val="0077546E"/>
    <w:rsid w:val="0078125A"/>
    <w:rsid w:val="007821A9"/>
    <w:rsid w:val="00783C9F"/>
    <w:rsid w:val="00784ED8"/>
    <w:rsid w:val="007A122D"/>
    <w:rsid w:val="007A22B6"/>
    <w:rsid w:val="007A5097"/>
    <w:rsid w:val="007B2C2C"/>
    <w:rsid w:val="007C1258"/>
    <w:rsid w:val="007C190F"/>
    <w:rsid w:val="007E614E"/>
    <w:rsid w:val="007E6AB9"/>
    <w:rsid w:val="00803525"/>
    <w:rsid w:val="00807D8C"/>
    <w:rsid w:val="00815989"/>
    <w:rsid w:val="00822EE6"/>
    <w:rsid w:val="00827EBB"/>
    <w:rsid w:val="00835B6E"/>
    <w:rsid w:val="00845A85"/>
    <w:rsid w:val="00853419"/>
    <w:rsid w:val="00860802"/>
    <w:rsid w:val="00860DA4"/>
    <w:rsid w:val="00870168"/>
    <w:rsid w:val="0088779C"/>
    <w:rsid w:val="008A18DC"/>
    <w:rsid w:val="008A1FA5"/>
    <w:rsid w:val="008B6F36"/>
    <w:rsid w:val="008C6A6E"/>
    <w:rsid w:val="008D0B2F"/>
    <w:rsid w:val="008D3CF8"/>
    <w:rsid w:val="008D6973"/>
    <w:rsid w:val="008D7550"/>
    <w:rsid w:val="008E074F"/>
    <w:rsid w:val="008F6085"/>
    <w:rsid w:val="009107CD"/>
    <w:rsid w:val="0091399D"/>
    <w:rsid w:val="00915ADD"/>
    <w:rsid w:val="00931F7D"/>
    <w:rsid w:val="00933F64"/>
    <w:rsid w:val="009430EE"/>
    <w:rsid w:val="009556E6"/>
    <w:rsid w:val="00964704"/>
    <w:rsid w:val="00964EA6"/>
    <w:rsid w:val="00965A9F"/>
    <w:rsid w:val="00965E62"/>
    <w:rsid w:val="0097648D"/>
    <w:rsid w:val="00976EDB"/>
    <w:rsid w:val="00977A8E"/>
    <w:rsid w:val="009812FE"/>
    <w:rsid w:val="0099000B"/>
    <w:rsid w:val="009919CF"/>
    <w:rsid w:val="00993F39"/>
    <w:rsid w:val="0099447F"/>
    <w:rsid w:val="009A455A"/>
    <w:rsid w:val="009B3116"/>
    <w:rsid w:val="009D25B7"/>
    <w:rsid w:val="009F280C"/>
    <w:rsid w:val="00A01611"/>
    <w:rsid w:val="00A04430"/>
    <w:rsid w:val="00A055F8"/>
    <w:rsid w:val="00A1243D"/>
    <w:rsid w:val="00A270C8"/>
    <w:rsid w:val="00A30AF3"/>
    <w:rsid w:val="00A33326"/>
    <w:rsid w:val="00A334CB"/>
    <w:rsid w:val="00A504A0"/>
    <w:rsid w:val="00A54C41"/>
    <w:rsid w:val="00A77937"/>
    <w:rsid w:val="00A80068"/>
    <w:rsid w:val="00A87D32"/>
    <w:rsid w:val="00A91B3C"/>
    <w:rsid w:val="00AB49D6"/>
    <w:rsid w:val="00AB5E51"/>
    <w:rsid w:val="00AB684E"/>
    <w:rsid w:val="00AD342B"/>
    <w:rsid w:val="00AD64D6"/>
    <w:rsid w:val="00AF7D05"/>
    <w:rsid w:val="00B04287"/>
    <w:rsid w:val="00B11C0F"/>
    <w:rsid w:val="00B12609"/>
    <w:rsid w:val="00B23CD8"/>
    <w:rsid w:val="00B2674A"/>
    <w:rsid w:val="00B302B0"/>
    <w:rsid w:val="00B37FE2"/>
    <w:rsid w:val="00B43BDE"/>
    <w:rsid w:val="00B477D3"/>
    <w:rsid w:val="00B5304D"/>
    <w:rsid w:val="00B6171A"/>
    <w:rsid w:val="00B62DA3"/>
    <w:rsid w:val="00B74F45"/>
    <w:rsid w:val="00B832A5"/>
    <w:rsid w:val="00BA7549"/>
    <w:rsid w:val="00BC3269"/>
    <w:rsid w:val="00BC35F9"/>
    <w:rsid w:val="00BC4ABB"/>
    <w:rsid w:val="00BC6F8D"/>
    <w:rsid w:val="00BD58AA"/>
    <w:rsid w:val="00BE6F6D"/>
    <w:rsid w:val="00BF6D92"/>
    <w:rsid w:val="00C02538"/>
    <w:rsid w:val="00C136F3"/>
    <w:rsid w:val="00C1753B"/>
    <w:rsid w:val="00C37FF5"/>
    <w:rsid w:val="00C41A54"/>
    <w:rsid w:val="00C436F1"/>
    <w:rsid w:val="00C61084"/>
    <w:rsid w:val="00C63059"/>
    <w:rsid w:val="00C64312"/>
    <w:rsid w:val="00C91788"/>
    <w:rsid w:val="00CA6AE1"/>
    <w:rsid w:val="00CB4F9C"/>
    <w:rsid w:val="00CC2124"/>
    <w:rsid w:val="00CC70F2"/>
    <w:rsid w:val="00CD4A01"/>
    <w:rsid w:val="00CE003A"/>
    <w:rsid w:val="00CF25A0"/>
    <w:rsid w:val="00CF7EEF"/>
    <w:rsid w:val="00D065CC"/>
    <w:rsid w:val="00D122E3"/>
    <w:rsid w:val="00D255BA"/>
    <w:rsid w:val="00D27F0A"/>
    <w:rsid w:val="00D32285"/>
    <w:rsid w:val="00D3730B"/>
    <w:rsid w:val="00D37AC4"/>
    <w:rsid w:val="00D45A61"/>
    <w:rsid w:val="00D47CF4"/>
    <w:rsid w:val="00D6044B"/>
    <w:rsid w:val="00D87C15"/>
    <w:rsid w:val="00D87E7D"/>
    <w:rsid w:val="00D97FB2"/>
    <w:rsid w:val="00DA3DF2"/>
    <w:rsid w:val="00DC2FAB"/>
    <w:rsid w:val="00DD3CDB"/>
    <w:rsid w:val="00DD457C"/>
    <w:rsid w:val="00DE7A58"/>
    <w:rsid w:val="00DF305D"/>
    <w:rsid w:val="00DF73EA"/>
    <w:rsid w:val="00E058C6"/>
    <w:rsid w:val="00E07702"/>
    <w:rsid w:val="00E10794"/>
    <w:rsid w:val="00E10A05"/>
    <w:rsid w:val="00E10D98"/>
    <w:rsid w:val="00E141CF"/>
    <w:rsid w:val="00E268EA"/>
    <w:rsid w:val="00E832A6"/>
    <w:rsid w:val="00E8483D"/>
    <w:rsid w:val="00E963FB"/>
    <w:rsid w:val="00EA1AAF"/>
    <w:rsid w:val="00EA611C"/>
    <w:rsid w:val="00EB41F2"/>
    <w:rsid w:val="00EB5015"/>
    <w:rsid w:val="00EB5569"/>
    <w:rsid w:val="00EF1B8D"/>
    <w:rsid w:val="00EF5BFB"/>
    <w:rsid w:val="00F010B2"/>
    <w:rsid w:val="00F0470B"/>
    <w:rsid w:val="00F11FC3"/>
    <w:rsid w:val="00F140C1"/>
    <w:rsid w:val="00F23746"/>
    <w:rsid w:val="00F253E6"/>
    <w:rsid w:val="00F32000"/>
    <w:rsid w:val="00F3535E"/>
    <w:rsid w:val="00F503E2"/>
    <w:rsid w:val="00F63822"/>
    <w:rsid w:val="00F64C7A"/>
    <w:rsid w:val="00F760CC"/>
    <w:rsid w:val="00F76D97"/>
    <w:rsid w:val="00F87690"/>
    <w:rsid w:val="00FB39AF"/>
    <w:rsid w:val="00FC61D7"/>
    <w:rsid w:val="00FE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10AD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dat">
    <w:name w:val="dat"/>
    <w:basedOn w:val="a0"/>
    <w:rsid w:val="006310AD"/>
  </w:style>
  <w:style w:type="character" w:customStyle="1" w:styleId="st42">
    <w:name w:val="st42"/>
    <w:rsid w:val="006310AD"/>
    <w:rPr>
      <w:rFonts w:ascii="Times New Roman" w:hAnsi="Times New Roman" w:cs="Times New Roman" w:hint="default"/>
      <w:color w:val="000000"/>
    </w:rPr>
  </w:style>
  <w:style w:type="character" w:customStyle="1" w:styleId="rvts0">
    <w:name w:val="rvts0"/>
    <w:rsid w:val="006310AD"/>
  </w:style>
  <w:style w:type="paragraph" w:styleId="a4">
    <w:name w:val="header"/>
    <w:basedOn w:val="a"/>
    <w:link w:val="a5"/>
    <w:uiPriority w:val="99"/>
    <w:unhideWhenUsed/>
    <w:rsid w:val="006310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0AD"/>
  </w:style>
  <w:style w:type="paragraph" w:styleId="a6">
    <w:name w:val="footer"/>
    <w:basedOn w:val="a"/>
    <w:link w:val="a7"/>
    <w:uiPriority w:val="99"/>
    <w:unhideWhenUsed/>
    <w:rsid w:val="006310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0AD"/>
  </w:style>
  <w:style w:type="character" w:customStyle="1" w:styleId="rvts15">
    <w:name w:val="rvts15"/>
    <w:rsid w:val="00845A85"/>
    <w:rPr>
      <w:rFonts w:ascii="Times New Roman" w:hAnsi="Times New Roman" w:cs="Times New Roman" w:hint="default"/>
    </w:rPr>
  </w:style>
  <w:style w:type="paragraph" w:customStyle="1" w:styleId="tj">
    <w:name w:val="tj"/>
    <w:basedOn w:val="a"/>
    <w:rsid w:val="0083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835B6E"/>
  </w:style>
  <w:style w:type="paragraph" w:styleId="a8">
    <w:name w:val="No Spacing"/>
    <w:basedOn w:val="a"/>
    <w:uiPriority w:val="1"/>
    <w:qFormat/>
    <w:rsid w:val="0035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semiHidden/>
    <w:unhideWhenUsed/>
    <w:rsid w:val="006D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4215B"/>
    <w:rPr>
      <w:b/>
      <w:bCs/>
    </w:rPr>
  </w:style>
  <w:style w:type="character" w:styleId="ab">
    <w:name w:val="Hyperlink"/>
    <w:basedOn w:val="a0"/>
    <w:uiPriority w:val="99"/>
    <w:unhideWhenUsed/>
    <w:rsid w:val="0004215B"/>
    <w:rPr>
      <w:color w:val="0000FF"/>
      <w:u w:val="single"/>
    </w:rPr>
  </w:style>
  <w:style w:type="character" w:customStyle="1" w:styleId="rvts44">
    <w:name w:val="rvts44"/>
    <w:basedOn w:val="a0"/>
    <w:rsid w:val="003B6EC1"/>
  </w:style>
  <w:style w:type="paragraph" w:styleId="ac">
    <w:name w:val="Balloon Text"/>
    <w:basedOn w:val="a"/>
    <w:link w:val="ad"/>
    <w:uiPriority w:val="99"/>
    <w:semiHidden/>
    <w:unhideWhenUsed/>
    <w:rsid w:val="0032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4D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7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10AD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dat">
    <w:name w:val="dat"/>
    <w:basedOn w:val="a0"/>
    <w:rsid w:val="006310AD"/>
  </w:style>
  <w:style w:type="character" w:customStyle="1" w:styleId="st42">
    <w:name w:val="st42"/>
    <w:rsid w:val="006310AD"/>
    <w:rPr>
      <w:rFonts w:ascii="Times New Roman" w:hAnsi="Times New Roman" w:cs="Times New Roman" w:hint="default"/>
      <w:color w:val="000000"/>
    </w:rPr>
  </w:style>
  <w:style w:type="character" w:customStyle="1" w:styleId="rvts0">
    <w:name w:val="rvts0"/>
    <w:rsid w:val="006310AD"/>
  </w:style>
  <w:style w:type="paragraph" w:styleId="a4">
    <w:name w:val="header"/>
    <w:basedOn w:val="a"/>
    <w:link w:val="a5"/>
    <w:uiPriority w:val="99"/>
    <w:unhideWhenUsed/>
    <w:rsid w:val="006310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310AD"/>
  </w:style>
  <w:style w:type="paragraph" w:styleId="a6">
    <w:name w:val="footer"/>
    <w:basedOn w:val="a"/>
    <w:link w:val="a7"/>
    <w:uiPriority w:val="99"/>
    <w:unhideWhenUsed/>
    <w:rsid w:val="006310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310AD"/>
  </w:style>
  <w:style w:type="character" w:customStyle="1" w:styleId="rvts15">
    <w:name w:val="rvts15"/>
    <w:rsid w:val="00845A85"/>
    <w:rPr>
      <w:rFonts w:ascii="Times New Roman" w:hAnsi="Times New Roman" w:cs="Times New Roman" w:hint="default"/>
    </w:rPr>
  </w:style>
  <w:style w:type="paragraph" w:customStyle="1" w:styleId="tj">
    <w:name w:val="tj"/>
    <w:basedOn w:val="a"/>
    <w:rsid w:val="0083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835B6E"/>
  </w:style>
  <w:style w:type="paragraph" w:styleId="a8">
    <w:name w:val="No Spacing"/>
    <w:basedOn w:val="a"/>
    <w:uiPriority w:val="1"/>
    <w:qFormat/>
    <w:rsid w:val="0035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semiHidden/>
    <w:unhideWhenUsed/>
    <w:rsid w:val="006D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4215B"/>
    <w:rPr>
      <w:b/>
      <w:bCs/>
    </w:rPr>
  </w:style>
  <w:style w:type="character" w:styleId="ab">
    <w:name w:val="Hyperlink"/>
    <w:basedOn w:val="a0"/>
    <w:uiPriority w:val="99"/>
    <w:unhideWhenUsed/>
    <w:rsid w:val="0004215B"/>
    <w:rPr>
      <w:color w:val="0000FF"/>
      <w:u w:val="single"/>
    </w:rPr>
  </w:style>
  <w:style w:type="character" w:customStyle="1" w:styleId="rvts44">
    <w:name w:val="rvts44"/>
    <w:basedOn w:val="a0"/>
    <w:rsid w:val="003B6EC1"/>
  </w:style>
  <w:style w:type="paragraph" w:styleId="ac">
    <w:name w:val="Balloon Text"/>
    <w:basedOn w:val="a"/>
    <w:link w:val="ad"/>
    <w:uiPriority w:val="99"/>
    <w:semiHidden/>
    <w:unhideWhenUsed/>
    <w:rsid w:val="0032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D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7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06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C2C5CB"/>
            <w:bottom w:val="single" w:sz="6" w:space="0" w:color="C2C5CB"/>
            <w:right w:val="single" w:sz="2" w:space="0" w:color="C2C5CB"/>
          </w:divBdr>
        </w:div>
        <w:div w:id="127251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989">
              <w:marLeft w:val="2678"/>
              <w:marRight w:val="7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600">
          <w:marLeft w:val="0"/>
          <w:marRight w:val="0"/>
          <w:marTop w:val="0"/>
          <w:marBottom w:val="450"/>
          <w:divBdr>
            <w:top w:val="single" w:sz="6" w:space="14" w:color="E6E8F7"/>
            <w:left w:val="single" w:sz="6" w:space="17" w:color="E6E8F7"/>
            <w:bottom w:val="single" w:sz="6" w:space="14" w:color="E6E8F7"/>
            <w:right w:val="single" w:sz="6" w:space="17" w:color="E6E8F7"/>
          </w:divBdr>
        </w:div>
      </w:divsChild>
    </w:div>
    <w:div w:id="536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937">
              <w:marLeft w:val="0"/>
              <w:marRight w:val="0"/>
              <w:marTop w:val="0"/>
              <w:marBottom w:val="0"/>
              <w:divBdr>
                <w:top w:val="single" w:sz="2" w:space="11" w:color="F73446"/>
                <w:left w:val="single" w:sz="2" w:space="0" w:color="F73446"/>
                <w:bottom w:val="single" w:sz="2" w:space="0" w:color="F73446"/>
                <w:right w:val="single" w:sz="2" w:space="0" w:color="F73446"/>
              </w:divBdr>
            </w:div>
          </w:divsChild>
        </w:div>
        <w:div w:id="900989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8685">
              <w:marLeft w:val="0"/>
              <w:marRight w:val="0"/>
              <w:marTop w:val="0"/>
              <w:marBottom w:val="0"/>
              <w:divBdr>
                <w:top w:val="single" w:sz="6" w:space="11" w:color="F73446"/>
                <w:left w:val="single" w:sz="6" w:space="0" w:color="F73446"/>
                <w:bottom w:val="single" w:sz="6" w:space="11" w:color="F73446"/>
                <w:right w:val="single" w:sz="6" w:space="0" w:color="F73446"/>
              </w:divBdr>
            </w:div>
          </w:divsChild>
        </w:div>
      </w:divsChild>
    </w:div>
    <w:div w:id="886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6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286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15" w:color="990000"/>
          </w:divBdr>
        </w:div>
      </w:divsChild>
    </w:div>
    <w:div w:id="1781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46">
          <w:blockQuote w:val="1"/>
          <w:marLeft w:val="600"/>
          <w:marRight w:val="600"/>
          <w:marTop w:val="195"/>
          <w:marBottom w:val="195"/>
          <w:divBdr>
            <w:top w:val="single" w:sz="2" w:space="14" w:color="CCCCCC"/>
            <w:left w:val="single" w:sz="36" w:space="14" w:color="CCCCCC"/>
            <w:bottom w:val="single" w:sz="2" w:space="14" w:color="CCCCCC"/>
            <w:right w:val="single" w:sz="2" w:space="14" w:color="CCCCCC"/>
          </w:divBdr>
        </w:div>
        <w:div w:id="227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493">
          <w:blockQuote w:val="1"/>
          <w:marLeft w:val="600"/>
          <w:marRight w:val="600"/>
          <w:marTop w:val="195"/>
          <w:marBottom w:val="195"/>
          <w:divBdr>
            <w:top w:val="single" w:sz="2" w:space="14" w:color="CCCCCC"/>
            <w:left w:val="single" w:sz="36" w:space="14" w:color="CCCCCC"/>
            <w:bottom w:val="single" w:sz="2" w:space="14" w:color="CCCCCC"/>
            <w:right w:val="single" w:sz="2" w:space="14" w:color="CCCCCC"/>
          </w:divBdr>
        </w:div>
        <w:div w:id="14059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733">
          <w:blockQuote w:val="1"/>
          <w:marLeft w:val="600"/>
          <w:marRight w:val="600"/>
          <w:marTop w:val="195"/>
          <w:marBottom w:val="195"/>
          <w:divBdr>
            <w:top w:val="single" w:sz="2" w:space="14" w:color="CCCCCC"/>
            <w:left w:val="single" w:sz="36" w:space="14" w:color="CCCCCC"/>
            <w:bottom w:val="single" w:sz="2" w:space="14" w:color="CCCCCC"/>
            <w:right w:val="single" w:sz="2" w:space="14" w:color="CCCCCC"/>
          </w:divBdr>
        </w:div>
        <w:div w:id="2076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361">
          <w:blockQuote w:val="1"/>
          <w:marLeft w:val="600"/>
          <w:marRight w:val="600"/>
          <w:marTop w:val="195"/>
          <w:marBottom w:val="195"/>
          <w:divBdr>
            <w:top w:val="single" w:sz="2" w:space="14" w:color="CCCCCC"/>
            <w:left w:val="single" w:sz="36" w:space="14" w:color="CCCCCC"/>
            <w:bottom w:val="single" w:sz="2" w:space="14" w:color="CCCCCC"/>
            <w:right w:val="single" w:sz="2" w:space="14" w:color="CCCCCC"/>
          </w:divBdr>
        </w:div>
        <w:div w:id="21024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BB20-1C6C-4842-A0D2-8ED7D241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Надiя</cp:lastModifiedBy>
  <cp:revision>39</cp:revision>
  <cp:lastPrinted>2022-03-17T09:45:00Z</cp:lastPrinted>
  <dcterms:created xsi:type="dcterms:W3CDTF">2022-03-16T07:46:00Z</dcterms:created>
  <dcterms:modified xsi:type="dcterms:W3CDTF">2022-03-25T14:10:00Z</dcterms:modified>
</cp:coreProperties>
</file>