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46" w:rsidRPr="00BD5446" w:rsidRDefault="00BD5446" w:rsidP="00BD5446">
      <w:pPr>
        <w:shd w:val="clear" w:color="auto" w:fill="FFFFFF"/>
        <w:spacing w:line="240" w:lineRule="auto"/>
        <w:textAlignment w:val="baseline"/>
        <w:rPr>
          <w:rFonts w:ascii="Myriad Pro" w:eastAsia="Times New Roman" w:hAnsi="Myriad Pro" w:cs="Times New Roman"/>
          <w:color w:val="333333"/>
          <w:sz w:val="24"/>
          <w:szCs w:val="24"/>
          <w:lang w:eastAsia="uk-UA"/>
        </w:rPr>
      </w:pPr>
      <w:r>
        <w:rPr>
          <w:rFonts w:ascii="Myriad Pro" w:eastAsia="Times New Roman" w:hAnsi="Myriad Pro" w:cs="Times New Roman"/>
          <w:noProof/>
          <w:color w:val="333333"/>
          <w:sz w:val="24"/>
          <w:szCs w:val="24"/>
          <w:lang w:eastAsia="uk-UA"/>
        </w:rPr>
        <w:drawing>
          <wp:inline distT="0" distB="0" distL="0" distR="0">
            <wp:extent cx="9048750" cy="5095875"/>
            <wp:effectExtent l="19050" t="0" r="0" b="0"/>
            <wp:docPr id="1" name="Рисунок 1" descr="Єдине здоров’я: чому важливо дбати комплексно про здоров’я людей, тварин і довкілл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Єдине здоров’я: чому важливо дбати комплексно про здоров’я людей, тварин і довкілля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0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outlineLvl w:val="0"/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45"/>
          <w:szCs w:val="45"/>
          <w:bdr w:val="none" w:sz="0" w:space="0" w:color="auto" w:frame="1"/>
          <w:lang w:eastAsia="uk-UA"/>
        </w:rPr>
      </w:pPr>
      <w:r w:rsidRPr="00BD5446">
        <w:rPr>
          <w:rFonts w:ascii="Museo Sans Cyrl 900" w:eastAsia="Times New Roman" w:hAnsi="Museo Sans Cyrl 900" w:cs="Times New Roman"/>
          <w:b/>
          <w:bCs/>
          <w:caps/>
          <w:kern w:val="36"/>
          <w:sz w:val="45"/>
          <w:szCs w:val="45"/>
          <w:bdr w:val="none" w:sz="0" w:space="0" w:color="auto" w:frame="1"/>
          <w:lang w:eastAsia="uk-UA"/>
        </w:rPr>
        <w:t>ЄДИНЕ ЗДОРОВ’Я: ЧОМУ ВАЖЛИВО ДБАТИ КОМПЛЕКСНО ПРО ЗДОРОВ’Я</w:t>
      </w:r>
      <w:r w:rsidRPr="00BD5446">
        <w:rPr>
          <w:rFonts w:ascii="Museo Sans Cyrl 900" w:eastAsia="Times New Roman" w:hAnsi="Museo Sans Cyrl 900" w:cs="Times New Roman"/>
          <w:b/>
          <w:bCs/>
          <w:caps/>
          <w:color w:val="004188"/>
          <w:kern w:val="36"/>
          <w:sz w:val="45"/>
          <w:szCs w:val="45"/>
          <w:bdr w:val="none" w:sz="0" w:space="0" w:color="auto" w:frame="1"/>
          <w:lang w:eastAsia="uk-UA"/>
        </w:rPr>
        <w:t xml:space="preserve"> 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outlineLvl w:val="0"/>
        <w:rPr>
          <w:rFonts w:ascii="Museo Sans Cyrl 900" w:eastAsia="Times New Roman" w:hAnsi="Museo Sans Cyrl 900" w:cs="Times New Roman"/>
          <w:b/>
          <w:bCs/>
          <w:caps/>
          <w:kern w:val="36"/>
          <w:sz w:val="28"/>
          <w:szCs w:val="28"/>
          <w:lang w:eastAsia="uk-UA"/>
        </w:rPr>
      </w:pPr>
      <w:r w:rsidRPr="00BD5446">
        <w:rPr>
          <w:rFonts w:ascii="Museo Sans Cyrl 900" w:eastAsia="Times New Roman" w:hAnsi="Museo Sans Cyrl 900" w:cs="Times New Roman"/>
          <w:b/>
          <w:bCs/>
          <w:caps/>
          <w:kern w:val="36"/>
          <w:sz w:val="28"/>
          <w:szCs w:val="28"/>
          <w:bdr w:val="none" w:sz="0" w:space="0" w:color="auto" w:frame="1"/>
          <w:lang w:eastAsia="uk-UA"/>
        </w:rPr>
        <w:t>ЛЮДЕЙ, ТВАРИН І ДОВКІЛЛЯ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Здоров’я людей невіддільно пов’язане зі здоров’ям тварин та екосистем, у яких ми живемо. Щороку 3 листопада світ відзначає «День єдиного здоров’я», покликаний об'єднати спільноти різних сфер діяльності навколо теми глобального здоров’я.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Що таке єдине здоров’я?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hyperlink r:id="rId6" w:history="1">
        <w:r w:rsidRPr="00BD5446">
          <w:rPr>
            <w:rFonts w:ascii="Myriad Pro" w:eastAsia="Times New Roman" w:hAnsi="Myriad Pro" w:cs="Times New Roman"/>
            <w:sz w:val="28"/>
            <w:szCs w:val="28"/>
            <w:lang w:eastAsia="uk-UA"/>
          </w:rPr>
          <w:t>Концепція єдиного здоров’я</w:t>
        </w:r>
      </w:hyperlink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 передбачає спільний підхід на місцевому, регіональному, національному та глобальному рівнях із метою досягнення оптимальних результатів у сфері здоров'я, визнаючи взаємозв'язок між людьми, тваринами, рослинами та їхнім спільним місцем «проживання».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b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b/>
          <w:sz w:val="28"/>
          <w:szCs w:val="28"/>
          <w:lang w:eastAsia="uk-UA"/>
        </w:rPr>
        <w:t>Концепція єдиного здоров’я:</w:t>
      </w:r>
    </w:p>
    <w:p w:rsidR="00BD5446" w:rsidRPr="00BD5446" w:rsidRDefault="00BD5446" w:rsidP="00BD54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lastRenderedPageBreak/>
        <w:t>запобігає виникненню спалахів </w:t>
      </w:r>
      <w:proofErr w:type="spellStart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fldChar w:fldCharType="begin"/>
      </w: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instrText xml:space="preserve"> HYPERLINK "https://www.who.int/news-room/fact-sheets/detail/zoonoses" </w:instrText>
      </w: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fldChar w:fldCharType="separate"/>
      </w: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зоонозів</w:t>
      </w:r>
      <w:proofErr w:type="spellEnd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fldChar w:fldCharType="end"/>
      </w: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 (інфекційних хвороб людини, джерелом яких є інфіковані тварини);</w:t>
      </w:r>
    </w:p>
    <w:p w:rsidR="00BD5446" w:rsidRPr="00BD5446" w:rsidRDefault="00BD5446" w:rsidP="00BD5446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сприяє гарантуванню якості та безпечності харчових продуктів;</w:t>
      </w:r>
    </w:p>
    <w:p w:rsidR="00BD5446" w:rsidRPr="00BD5446" w:rsidRDefault="00BD5446" w:rsidP="00BD5446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сприяє зменшенню </w:t>
      </w:r>
      <w:proofErr w:type="spellStart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антибіотикорезистентності</w:t>
      </w:r>
      <w:proofErr w:type="spellEnd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 та покращенню здоров’я людей і тварин;</w:t>
      </w:r>
    </w:p>
    <w:p w:rsidR="00BD5446" w:rsidRPr="00BD5446" w:rsidRDefault="00BD5446" w:rsidP="00BD5446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дбає про глобальну безпеку охорони здоров'я;</w:t>
      </w:r>
    </w:p>
    <w:p w:rsidR="00BD5446" w:rsidRPr="00BD5446" w:rsidRDefault="00BD5446" w:rsidP="00BD5446">
      <w:pPr>
        <w:numPr>
          <w:ilvl w:val="0"/>
          <w:numId w:val="1"/>
        </w:numPr>
        <w:shd w:val="clear" w:color="auto" w:fill="FFFFFF"/>
        <w:spacing w:after="180" w:line="240" w:lineRule="auto"/>
        <w:ind w:left="0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захищає і зберігає </w:t>
      </w:r>
      <w:proofErr w:type="spellStart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біорізноманіття</w:t>
      </w:r>
      <w:proofErr w:type="spellEnd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b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Спільні загрози для здоров’я людей, тварин та екосистеми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Інфекційні хвороби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За даними Всесвітньої організації охорони здоров’я (ВООЗ), спалахи зоонозних хвороб є значним викликом для глобальної системи охорони здоров’я. Щороку мільйони людей і тварин у всьому світі страждають від зоонозних захворювань: сказ, сальмонельоз, лептоспіроз, орнітоз, пташиний грип, хвороба </w:t>
      </w:r>
      <w:proofErr w:type="spellStart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Лайма</w:t>
      </w:r>
      <w:proofErr w:type="spellEnd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, гарячка Західного Нілу, сибірка і ще низка інших. Переносники інфекцій — наприклад, комарі, кліщі та гризуни, — поширюють віруси, які можуть бути смертельно небезпечними для людини.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Водночас стан здоров’я тварин може служити раннім попереджувальним критерієм виникнення потенційної небезпеки для здоров’я людей. Наприклад, реєстрація смертності серед птахів від вірусу Західного Нілу відбувається напередодні виникнення </w:t>
      </w:r>
      <w:proofErr w:type="spellStart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епідускладнення</w:t>
      </w:r>
      <w:proofErr w:type="spellEnd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 даного захворювання серед людей у тому ж районі.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Стійкість до антибіотиків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Неконтрольоване </w:t>
      </w:r>
      <w:hyperlink r:id="rId7" w:history="1">
        <w:r w:rsidRPr="00BD5446">
          <w:rPr>
            <w:rFonts w:ascii="Myriad Pro" w:eastAsia="Times New Roman" w:hAnsi="Myriad Pro" w:cs="Times New Roman"/>
            <w:sz w:val="28"/>
            <w:szCs w:val="28"/>
            <w:lang w:eastAsia="uk-UA"/>
          </w:rPr>
          <w:t>використання антибіотиків</w:t>
        </w:r>
      </w:hyperlink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 як у медицині, так і у ветеринарії призводить до розвитку штамів бактерій, стійких до антимікробних засобів, які можуть загрожувати не лише тваринам, а й людям.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Стійкі до антибіотиків та антимікробних препаратів культури можуть швидко поширюватися серед населення, через харчові продукти, заклади охорони здоров’я та навколишнє середовище (ґрунт, вода), що ускладнює лікування певних інфекцій у тварин і людей. За прогнозами ВООЗ, через стійкість до антибіотиків до 2050 року кожен третій випадок інфекційної хвороби може стати невиліковним.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Зміни клімату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Зміни клімату також негативно впливають на здоров’я людей і тварин. Підвищення температури довкілля сприяє поширенню хвороб, які раніше траплялися лише в тропічних регіонах. Повені, циклони та посухи, зменшують доступ до чистої води, створюючи сприятливе середовище для виникнення </w:t>
      </w: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lastRenderedPageBreak/>
        <w:t>спалахів тих чи тих інфекцій, а також утворюють нові ризики для безпеки продовольства.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997899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Як діяти в рамках Єдиного здоров’я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997899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Комплексний підхід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Важливо забезпечити тісну співпрацю між медичними, ветеринарними та екологічними службами. Це дасть змогу швидко реагувати на спалахи хвороб, запобігати новим загрозам та покращувати загальне здоров’я населення.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997899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Раціональне використання антибіотиків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Варто обмежити використання антибіотиків, дотримуючись рекомендацій лікарів і ветеринарів, аби не допустити розвитку стійкості мікроорганізмів до них. Програми контролю за використанням </w:t>
      </w:r>
      <w:hyperlink r:id="rId8" w:history="1">
        <w:r w:rsidRPr="00997899">
          <w:rPr>
            <w:rFonts w:ascii="Myriad Pro" w:eastAsia="Times New Roman" w:hAnsi="Myriad Pro" w:cs="Times New Roman"/>
            <w:sz w:val="28"/>
            <w:szCs w:val="28"/>
            <w:lang w:eastAsia="uk-UA"/>
          </w:rPr>
          <w:t>антибіотиків </w:t>
        </w:r>
      </w:hyperlink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уже запроваджуються у багатьох країнах світу. Їхня ефективність підтверджена численними дослідженнями.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997899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Охорона довкілля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hyperlink r:id="rId9" w:history="1">
        <w:r w:rsidRPr="00997899">
          <w:rPr>
            <w:rFonts w:ascii="Myriad Pro" w:eastAsia="Times New Roman" w:hAnsi="Myriad Pro" w:cs="Times New Roman"/>
            <w:sz w:val="28"/>
            <w:szCs w:val="28"/>
            <w:lang w:eastAsia="uk-UA"/>
          </w:rPr>
          <w:t>Захист природних екосистем</w:t>
        </w:r>
      </w:hyperlink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 і збереження </w:t>
      </w:r>
      <w:proofErr w:type="spellStart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біорізноманіття</w:t>
      </w:r>
      <w:proofErr w:type="spellEnd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, чистоти води, повітря та ґрунтів допомагають знизити ризики виникнення нових інфекційних хвороб. Сортування сміття, використання </w:t>
      </w:r>
      <w:proofErr w:type="spellStart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енергоощадних</w:t>
      </w:r>
      <w:proofErr w:type="spellEnd"/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 xml:space="preserve"> ламп, озеленення прибудинкових територій, відмова від використання одноразового посуду — найпростіші кроки для захисту екосистем.</w:t>
      </w:r>
    </w:p>
    <w:p w:rsidR="00BD5446" w:rsidRPr="00BD5446" w:rsidRDefault="00BD5446" w:rsidP="00BD544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997899">
        <w:rPr>
          <w:rFonts w:ascii="Myriad Pro" w:eastAsia="Times New Roman" w:hAnsi="Myriad Pro" w:cs="Times New Roman"/>
          <w:b/>
          <w:bCs/>
          <w:sz w:val="28"/>
          <w:szCs w:val="28"/>
          <w:lang w:eastAsia="uk-UA"/>
        </w:rPr>
        <w:t>Підтримка вакцинації</w:t>
      </w:r>
    </w:p>
    <w:p w:rsidR="00BD5446" w:rsidRPr="00BD5446" w:rsidRDefault="00BD5446" w:rsidP="00BD544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Myriad Pro" w:eastAsia="Times New Roman" w:hAnsi="Myriad Pro" w:cs="Times New Roman"/>
          <w:sz w:val="28"/>
          <w:szCs w:val="28"/>
          <w:lang w:eastAsia="uk-UA"/>
        </w:rPr>
      </w:pPr>
      <w:r w:rsidRPr="00BD5446">
        <w:rPr>
          <w:rFonts w:ascii="Myriad Pro" w:eastAsia="Times New Roman" w:hAnsi="Myriad Pro" w:cs="Times New Roman"/>
          <w:sz w:val="28"/>
          <w:szCs w:val="28"/>
          <w:lang w:eastAsia="uk-UA"/>
        </w:rPr>
        <w:t>Вакцинація людей і тварин є одним із найефективніших методів запобігання поширенню небезпечних інфекційних хвороб. Наприклад, регулярна вакцинація проти сказу серед тварин значно знижує ризик зараження людей.</w:t>
      </w:r>
    </w:p>
    <w:p w:rsidR="003E241A" w:rsidRPr="00997899" w:rsidRDefault="00997899">
      <w:pPr>
        <w:rPr>
          <w:sz w:val="28"/>
          <w:szCs w:val="28"/>
        </w:rPr>
      </w:pPr>
    </w:p>
    <w:sectPr w:rsidR="003E241A" w:rsidRPr="00997899" w:rsidSect="00A730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useo Sans Cyrl 900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C3061"/>
    <w:multiLevelType w:val="multilevel"/>
    <w:tmpl w:val="5C90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D5446"/>
    <w:rsid w:val="00054412"/>
    <w:rsid w:val="001C631C"/>
    <w:rsid w:val="006E3F88"/>
    <w:rsid w:val="00997899"/>
    <w:rsid w:val="00A730C2"/>
    <w:rsid w:val="00B86C00"/>
    <w:rsid w:val="00BD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C2"/>
  </w:style>
  <w:style w:type="paragraph" w:styleId="1">
    <w:name w:val="heading 1"/>
    <w:basedOn w:val="a"/>
    <w:link w:val="10"/>
    <w:uiPriority w:val="9"/>
    <w:qFormat/>
    <w:rsid w:val="00BD54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44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BD5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D5446"/>
    <w:rPr>
      <w:b/>
      <w:bCs/>
    </w:rPr>
  </w:style>
  <w:style w:type="character" w:styleId="a5">
    <w:name w:val="Hyperlink"/>
    <w:basedOn w:val="a0"/>
    <w:uiPriority w:val="99"/>
    <w:semiHidden/>
    <w:unhideWhenUsed/>
    <w:rsid w:val="00BD544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4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699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51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antimicrobial-resistance/about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o.int/news-room/fact-sheets/detail/antimicrobial-resista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c.org.ua/news/edine-zdorovya-yak-cey-pidkhid-mozhe-zrobiti-nashe-zhittya-bezpechnishi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coaction.org.ua/wp-content/uploads/2021/12/katalog-pryrodoorient-rishen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2850</Words>
  <Characters>1625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2024-11-04T07:29:00Z</dcterms:created>
  <dcterms:modified xsi:type="dcterms:W3CDTF">2024-11-04T07:45:00Z</dcterms:modified>
</cp:coreProperties>
</file>